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09B813" w14:textId="590876C6" w:rsidR="00217E38" w:rsidRDefault="00302822">
      <w:pPr>
        <w:pStyle w:val="NoSpacing"/>
        <w:jc w:val="right"/>
        <w:rPr>
          <w:rFonts w:ascii="Arial Narrow" w:hAnsi="Arial Narrow" w:cs="Arial Narrow"/>
          <w:b/>
          <w:sz w:val="28"/>
          <w:szCs w:val="24"/>
        </w:rPr>
      </w:pPr>
      <w:r>
        <w:rPr>
          <w:noProof/>
        </w:rPr>
        <w:drawing>
          <wp:anchor distT="0" distB="0" distL="114935" distR="114935" simplePos="0" relativeHeight="2" behindDoc="0" locked="0" layoutInCell="1" allowOverlap="1" wp14:anchorId="35DAB196" wp14:editId="21DBA827">
            <wp:simplePos x="0" y="0"/>
            <wp:positionH relativeFrom="column">
              <wp:posOffset>-104140</wp:posOffset>
            </wp:positionH>
            <wp:positionV relativeFrom="paragraph">
              <wp:posOffset>-339090</wp:posOffset>
            </wp:positionV>
            <wp:extent cx="2997200" cy="101790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7"/>
                    <a:stretch>
                      <a:fillRect/>
                    </a:stretch>
                  </pic:blipFill>
                  <pic:spPr bwMode="auto">
                    <a:xfrm>
                      <a:off x="0" y="0"/>
                      <a:ext cx="2997200" cy="1017905"/>
                    </a:xfrm>
                    <a:prstGeom prst="rect">
                      <a:avLst/>
                    </a:prstGeom>
                    <a:noFill/>
                    <a:ln w="12700">
                      <a:solidFill>
                        <a:srgbClr val="1F4E79"/>
                      </a:solidFill>
                    </a:ln>
                  </pic:spPr>
                </pic:pic>
              </a:graphicData>
            </a:graphic>
          </wp:anchor>
        </w:drawing>
      </w:r>
      <w:r>
        <w:rPr>
          <w:rFonts w:ascii="Times New Roman" w:hAnsi="Times New Roman" w:cs="Arial Narrow"/>
          <w:b/>
          <w:sz w:val="28"/>
          <w:szCs w:val="24"/>
        </w:rPr>
        <w:t xml:space="preserve">Summary – </w:t>
      </w:r>
      <w:r w:rsidR="000904E5">
        <w:rPr>
          <w:rFonts w:ascii="Times New Roman" w:hAnsi="Times New Roman" w:cs="Arial Narrow"/>
          <w:b/>
          <w:sz w:val="28"/>
          <w:szCs w:val="24"/>
        </w:rPr>
        <w:t xml:space="preserve">Proposed Data Center Ordinance </w:t>
      </w:r>
    </w:p>
    <w:p w14:paraId="73E77802" w14:textId="1AEB0A10" w:rsidR="00217E38" w:rsidRDefault="00302822">
      <w:pPr>
        <w:pStyle w:val="NoSpacing"/>
        <w:tabs>
          <w:tab w:val="center" w:pos="5256"/>
          <w:tab w:val="left" w:pos="9132"/>
        </w:tabs>
        <w:jc w:val="right"/>
        <w:rPr>
          <w:rFonts w:ascii="Arial Narrow" w:hAnsi="Arial Narrow" w:cs="Arial Narrow"/>
          <w:b/>
          <w:sz w:val="28"/>
          <w:szCs w:val="24"/>
        </w:rPr>
      </w:pPr>
      <w:r>
        <w:rPr>
          <w:rFonts w:ascii="Times New Roman" w:hAnsi="Times New Roman" w:cs="Arial Narrow"/>
          <w:b/>
          <w:sz w:val="28"/>
          <w:szCs w:val="24"/>
        </w:rPr>
        <w:tab/>
        <w:t xml:space="preserve">                                                                         Date: 07/1</w:t>
      </w:r>
      <w:r w:rsidR="000904E5">
        <w:rPr>
          <w:rFonts w:ascii="Times New Roman" w:hAnsi="Times New Roman" w:cs="Arial Narrow"/>
          <w:b/>
          <w:sz w:val="28"/>
          <w:szCs w:val="24"/>
        </w:rPr>
        <w:t>4</w:t>
      </w:r>
      <w:r>
        <w:rPr>
          <w:rFonts w:ascii="Times New Roman" w:hAnsi="Times New Roman" w:cs="Arial Narrow"/>
          <w:b/>
          <w:sz w:val="28"/>
          <w:szCs w:val="24"/>
        </w:rPr>
        <w:t>/26</w:t>
      </w:r>
    </w:p>
    <w:p w14:paraId="11F3CD08" w14:textId="77777777" w:rsidR="00217E38" w:rsidRDefault="00217E38">
      <w:pPr>
        <w:pStyle w:val="NoSpacing"/>
        <w:tabs>
          <w:tab w:val="center" w:pos="5256"/>
          <w:tab w:val="left" w:pos="9132"/>
        </w:tabs>
        <w:rPr>
          <w:rFonts w:ascii="Arial Narrow" w:hAnsi="Arial Narrow" w:cs="Arial Narrow"/>
          <w:b/>
          <w:sz w:val="24"/>
          <w:szCs w:val="24"/>
        </w:rPr>
      </w:pPr>
    </w:p>
    <w:p w14:paraId="510D5963" w14:textId="77777777" w:rsidR="00217E38" w:rsidRDefault="00217E38">
      <w:pPr>
        <w:pStyle w:val="NoSpacing"/>
        <w:pBdr>
          <w:bottom w:val="single" w:sz="4" w:space="1" w:color="000000"/>
        </w:pBdr>
        <w:jc w:val="center"/>
        <w:rPr>
          <w:rFonts w:ascii="Arial Narrow" w:hAnsi="Arial Narrow" w:cs="Arial Narrow"/>
          <w:b/>
          <w:sz w:val="24"/>
          <w:szCs w:val="24"/>
        </w:rPr>
      </w:pPr>
    </w:p>
    <w:p w14:paraId="082B0EA0" w14:textId="77777777" w:rsidR="00217E38" w:rsidRDefault="00217E38">
      <w:pPr>
        <w:rPr>
          <w:sz w:val="24"/>
          <w:szCs w:val="24"/>
        </w:rPr>
      </w:pPr>
    </w:p>
    <w:p w14:paraId="76DCB390" w14:textId="77777777" w:rsidR="00217E38" w:rsidRDefault="00217E38">
      <w:pPr>
        <w:sectPr w:rsidR="00217E38">
          <w:headerReference w:type="default" r:id="rId8"/>
          <w:footerReference w:type="default" r:id="rId9"/>
          <w:pgSz w:w="12240" w:h="15840"/>
          <w:pgMar w:top="864" w:right="864" w:bottom="720" w:left="864" w:header="576" w:footer="288" w:gutter="0"/>
          <w:cols w:space="720"/>
          <w:formProt w:val="0"/>
          <w:docGrid w:linePitch="360"/>
        </w:sectPr>
      </w:pPr>
    </w:p>
    <w:p w14:paraId="0BE1984C" w14:textId="77777777" w:rsidR="00217E38" w:rsidRDefault="00217E38">
      <w:pPr>
        <w:spacing w:line="240" w:lineRule="auto"/>
        <w:rPr>
          <w:rFonts w:ascii="Arial Narrow" w:eastAsia="Arial Narrow" w:hAnsi="Arial Narrow" w:cs="Arial Narrow"/>
          <w:b/>
          <w:bCs/>
          <w:i/>
          <w:iCs/>
          <w:color w:val="000000"/>
          <w:sz w:val="16"/>
          <w:szCs w:val="16"/>
        </w:rPr>
      </w:pPr>
    </w:p>
    <w:p w14:paraId="689C4E2F" w14:textId="23E71DA9" w:rsidR="00217E38" w:rsidRPr="00387C50" w:rsidRDefault="00302822" w:rsidP="00707F43">
      <w:pPr>
        <w:spacing w:line="360" w:lineRule="auto"/>
        <w:jc w:val="center"/>
        <w:rPr>
          <w:rFonts w:ascii="Times New Roman" w:eastAsia="Arial Narrow" w:hAnsi="Times New Roman"/>
          <w:b/>
          <w:bCs/>
          <w:color w:val="000000"/>
          <w:sz w:val="24"/>
          <w:szCs w:val="24"/>
          <w:u w:val="single" w:color="000000"/>
        </w:rPr>
      </w:pPr>
      <w:r w:rsidRPr="00707F43">
        <w:rPr>
          <w:rFonts w:ascii="Times New Roman" w:eastAsia="Arial Narrow" w:hAnsi="Times New Roman"/>
          <w:b/>
          <w:bCs/>
          <w:color w:val="000000"/>
          <w:sz w:val="24"/>
          <w:szCs w:val="24"/>
          <w:u w:val="single" w:color="000000"/>
        </w:rPr>
        <w:t>S</w:t>
      </w:r>
      <w:r w:rsidRPr="00387C50">
        <w:rPr>
          <w:rFonts w:ascii="Times New Roman" w:eastAsia="Arial Narrow" w:hAnsi="Times New Roman"/>
          <w:b/>
          <w:bCs/>
          <w:color w:val="000000"/>
          <w:sz w:val="24"/>
          <w:szCs w:val="24"/>
          <w:u w:val="single" w:color="000000"/>
        </w:rPr>
        <w:t xml:space="preserve">ummary for </w:t>
      </w:r>
      <w:r w:rsidR="00A8362D" w:rsidRPr="00387C50">
        <w:rPr>
          <w:rFonts w:ascii="Times New Roman" w:eastAsia="Arial Narrow" w:hAnsi="Times New Roman"/>
          <w:b/>
          <w:bCs/>
          <w:color w:val="000000"/>
          <w:sz w:val="24"/>
          <w:szCs w:val="24"/>
          <w:u w:val="single" w:color="000000"/>
        </w:rPr>
        <w:t xml:space="preserve">Fiscal Court </w:t>
      </w:r>
      <w:r w:rsidRPr="00387C50">
        <w:rPr>
          <w:rFonts w:ascii="Times New Roman" w:eastAsia="Arial Narrow" w:hAnsi="Times New Roman"/>
          <w:b/>
          <w:bCs/>
          <w:color w:val="000000"/>
          <w:sz w:val="24"/>
          <w:szCs w:val="24"/>
          <w:u w:val="single" w:color="000000"/>
        </w:rPr>
        <w:t>Members</w:t>
      </w:r>
    </w:p>
    <w:p w14:paraId="4F705237" w14:textId="728DE6AA" w:rsidR="00217E38" w:rsidRPr="00387C50" w:rsidRDefault="00A8362D" w:rsidP="00707F43">
      <w:pPr>
        <w:spacing w:after="240" w:line="360" w:lineRule="auto"/>
        <w:rPr>
          <w:rFonts w:ascii="Times New Roman" w:hAnsi="Times New Roman"/>
          <w:b/>
          <w:sz w:val="24"/>
          <w:szCs w:val="24"/>
          <w:u w:val="single"/>
        </w:rPr>
      </w:pPr>
      <w:r w:rsidRPr="00387C50">
        <w:rPr>
          <w:rFonts w:ascii="Times New Roman" w:hAnsi="Times New Roman"/>
          <w:b/>
          <w:sz w:val="24"/>
          <w:szCs w:val="24"/>
          <w:u w:val="single"/>
        </w:rPr>
        <w:t>Draft Data Center Ordinance</w:t>
      </w:r>
      <w:r w:rsidR="00387C50" w:rsidRPr="00387C50">
        <w:rPr>
          <w:rFonts w:ascii="Times New Roman" w:hAnsi="Times New Roman"/>
          <w:b/>
          <w:sz w:val="24"/>
          <w:szCs w:val="24"/>
          <w:u w:val="single"/>
        </w:rPr>
        <w:t xml:space="preserve"> Overview</w:t>
      </w:r>
    </w:p>
    <w:p w14:paraId="595555C0" w14:textId="77777777" w:rsidR="00387C50" w:rsidRPr="00387C50" w:rsidRDefault="00387C50" w:rsidP="00387C50">
      <w:pPr>
        <w:pStyle w:val="Heading1"/>
        <w:pBdr>
          <w:bottom w:val="single" w:sz="8" w:space="4" w:color="1F3A5F"/>
        </w:pBdr>
        <w:spacing w:before="320" w:after="160"/>
      </w:pPr>
      <w:r w:rsidRPr="00387C50">
        <w:rPr>
          <w:b/>
          <w:bCs/>
          <w:color w:val="1F3A5F"/>
          <w:sz w:val="30"/>
          <w:szCs w:val="30"/>
        </w:rPr>
        <w:t>Overview</w:t>
      </w:r>
    </w:p>
    <w:p w14:paraId="39C77C8B" w14:textId="130EF758" w:rsidR="00387C50" w:rsidRPr="00387C50" w:rsidRDefault="00387C50" w:rsidP="00387C50">
      <w:pPr>
        <w:pStyle w:val="ListParagraph"/>
        <w:numPr>
          <w:ilvl w:val="0"/>
          <w:numId w:val="3"/>
        </w:numPr>
        <w:suppressAutoHyphens w:val="0"/>
        <w:spacing w:after="80" w:line="240" w:lineRule="auto"/>
        <w:contextualSpacing w:val="0"/>
        <w:rPr>
          <w:rFonts w:ascii="Times New Roman" w:hAnsi="Times New Roman"/>
        </w:rPr>
      </w:pPr>
      <w:r w:rsidRPr="00387C50">
        <w:rPr>
          <w:rFonts w:ascii="Times New Roman" w:hAnsi="Times New Roman"/>
        </w:rPr>
        <w:t>Henderson's draft ordinance is built on the Kentucky Resources Council (KRC) Model Data Center Siting Ordinance (v1.4); most of the framework and language carries over directly.</w:t>
      </w:r>
    </w:p>
    <w:p w14:paraId="3501B983" w14:textId="145BACC8" w:rsidR="00387C50" w:rsidRPr="00387C50" w:rsidRDefault="00241E2A" w:rsidP="00387C50">
      <w:pPr>
        <w:pStyle w:val="ListParagraph"/>
        <w:numPr>
          <w:ilvl w:val="0"/>
          <w:numId w:val="3"/>
        </w:numPr>
        <w:suppressAutoHyphens w:val="0"/>
        <w:spacing w:after="80" w:line="240" w:lineRule="auto"/>
        <w:contextualSpacing w:val="0"/>
        <w:rPr>
          <w:rFonts w:ascii="Times New Roman" w:hAnsi="Times New Roman"/>
        </w:rPr>
      </w:pPr>
      <w:r>
        <w:rPr>
          <w:rFonts w:ascii="Times New Roman" w:hAnsi="Times New Roman"/>
        </w:rPr>
        <w:t>Most substantive departures from the model establish more protective standards, while other changes adapt the model to Henderson County’s existing approval process</w:t>
      </w:r>
      <w:r w:rsidR="00387C50" w:rsidRPr="00387C50">
        <w:rPr>
          <w:rFonts w:ascii="Times New Roman" w:hAnsi="Times New Roman"/>
        </w:rPr>
        <w:t>: stronger protection for neighboring property owners and tighter ongoing oversight of the facility once it's operating.</w:t>
      </w:r>
    </w:p>
    <w:p w14:paraId="1E36A857" w14:textId="11AE9DE7" w:rsidR="00387C50" w:rsidRPr="00387C50" w:rsidRDefault="00387C50" w:rsidP="00387C50">
      <w:pPr>
        <w:pStyle w:val="ListParagraph"/>
        <w:numPr>
          <w:ilvl w:val="0"/>
          <w:numId w:val="3"/>
        </w:numPr>
        <w:suppressAutoHyphens w:val="0"/>
        <w:spacing w:after="80" w:line="240" w:lineRule="auto"/>
        <w:contextualSpacing w:val="0"/>
        <w:rPr>
          <w:rFonts w:ascii="Times New Roman" w:hAnsi="Times New Roman"/>
        </w:rPr>
      </w:pPr>
      <w:r w:rsidRPr="00387C50">
        <w:rPr>
          <w:rFonts w:ascii="Times New Roman" w:hAnsi="Times New Roman"/>
        </w:rPr>
        <w:t>Five main types of changes: (1) larger setbacks and a stricter noise limit, (2) new public-notice steps before an application can even be filed, (3) a permit expiration clause, (4) stronger compliance, reporting, and complaint-handling requirements after approval, and (5) an entirely new property value protection plan for neighbors.</w:t>
      </w:r>
    </w:p>
    <w:p w14:paraId="31E4CB9A" w14:textId="77777777" w:rsidR="00387C50" w:rsidRPr="00387C50" w:rsidRDefault="00387C50" w:rsidP="00387C50">
      <w:pPr>
        <w:pStyle w:val="Heading1"/>
        <w:pBdr>
          <w:bottom w:val="single" w:sz="8" w:space="4" w:color="1F3A5F"/>
        </w:pBdr>
        <w:spacing w:before="320" w:after="160"/>
        <w:rPr>
          <w:sz w:val="24"/>
          <w:szCs w:val="24"/>
        </w:rPr>
      </w:pPr>
      <w:r w:rsidRPr="00387C50">
        <w:rPr>
          <w:b/>
          <w:bCs/>
          <w:color w:val="1F3A5F"/>
          <w:sz w:val="24"/>
          <w:szCs w:val="24"/>
        </w:rPr>
        <w:t>1. Larger Buffers, Stricter Noise Limit</w:t>
      </w:r>
    </w:p>
    <w:tbl>
      <w:tblPr>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600"/>
        <w:gridCol w:w="3500"/>
        <w:gridCol w:w="3500"/>
      </w:tblGrid>
      <w:tr w:rsidR="00387C50" w:rsidRPr="00387C50" w14:paraId="4D2DD8F2" w14:textId="77777777" w:rsidTr="00D67C97">
        <w:trPr>
          <w:tblHeader/>
        </w:trPr>
        <w:tc>
          <w:tcPr>
            <w:tcW w:w="2600" w:type="dxa"/>
            <w:shd w:val="clear" w:color="auto" w:fill="1F3A5F"/>
            <w:tcMar>
              <w:top w:w="80" w:type="dxa"/>
              <w:left w:w="100" w:type="dxa"/>
              <w:bottom w:w="80" w:type="dxa"/>
              <w:right w:w="100" w:type="dxa"/>
            </w:tcMar>
          </w:tcPr>
          <w:p w14:paraId="31639D0D" w14:textId="73162D92" w:rsidR="00387C50" w:rsidRPr="00387C50" w:rsidRDefault="00387C50" w:rsidP="00387C50">
            <w:pPr>
              <w:tabs>
                <w:tab w:val="right" w:pos="2653"/>
              </w:tabs>
              <w:rPr>
                <w:rFonts w:ascii="Times New Roman" w:hAnsi="Times New Roman"/>
                <w:sz w:val="24"/>
                <w:szCs w:val="24"/>
              </w:rPr>
            </w:pPr>
            <w:r w:rsidRPr="00387C50">
              <w:rPr>
                <w:rFonts w:ascii="Times New Roman" w:hAnsi="Times New Roman"/>
                <w:b/>
                <w:bCs/>
                <w:color w:val="FFFFFF"/>
                <w:sz w:val="24"/>
                <w:szCs w:val="24"/>
              </w:rPr>
              <w:t>Standard</w:t>
            </w:r>
            <w:r>
              <w:rPr>
                <w:rFonts w:ascii="Times New Roman" w:hAnsi="Times New Roman"/>
                <w:b/>
                <w:bCs/>
                <w:color w:val="FFFFFF"/>
                <w:sz w:val="24"/>
                <w:szCs w:val="24"/>
              </w:rPr>
              <w:tab/>
            </w:r>
          </w:p>
        </w:tc>
        <w:tc>
          <w:tcPr>
            <w:tcW w:w="3500" w:type="dxa"/>
            <w:shd w:val="clear" w:color="auto" w:fill="1F3A5F"/>
            <w:tcMar>
              <w:top w:w="80" w:type="dxa"/>
              <w:left w:w="100" w:type="dxa"/>
              <w:bottom w:w="80" w:type="dxa"/>
              <w:right w:w="100" w:type="dxa"/>
            </w:tcMar>
          </w:tcPr>
          <w:p w14:paraId="558CC7D9" w14:textId="77777777" w:rsidR="00387C50" w:rsidRPr="00387C50" w:rsidRDefault="00387C50" w:rsidP="00D67C97">
            <w:pPr>
              <w:rPr>
                <w:rFonts w:ascii="Times New Roman" w:hAnsi="Times New Roman"/>
                <w:sz w:val="24"/>
                <w:szCs w:val="24"/>
              </w:rPr>
            </w:pPr>
            <w:r w:rsidRPr="00387C50">
              <w:rPr>
                <w:rFonts w:ascii="Times New Roman" w:hAnsi="Times New Roman"/>
                <w:b/>
                <w:bCs/>
                <w:color w:val="FFFFFF"/>
                <w:sz w:val="24"/>
                <w:szCs w:val="24"/>
              </w:rPr>
              <w:t>KRC Model Ordinance</w:t>
            </w:r>
          </w:p>
        </w:tc>
        <w:tc>
          <w:tcPr>
            <w:tcW w:w="3500" w:type="dxa"/>
            <w:shd w:val="clear" w:color="auto" w:fill="1F3A5F"/>
            <w:tcMar>
              <w:top w:w="80" w:type="dxa"/>
              <w:left w:w="100" w:type="dxa"/>
              <w:bottom w:w="80" w:type="dxa"/>
              <w:right w:w="100" w:type="dxa"/>
            </w:tcMar>
          </w:tcPr>
          <w:p w14:paraId="14DBBEA7" w14:textId="77777777" w:rsidR="00387C50" w:rsidRPr="00387C50" w:rsidRDefault="00387C50" w:rsidP="00D67C97">
            <w:pPr>
              <w:rPr>
                <w:rFonts w:ascii="Times New Roman" w:hAnsi="Times New Roman"/>
                <w:sz w:val="24"/>
                <w:szCs w:val="24"/>
              </w:rPr>
            </w:pPr>
            <w:r w:rsidRPr="00387C50">
              <w:rPr>
                <w:rFonts w:ascii="Times New Roman" w:hAnsi="Times New Roman"/>
                <w:b/>
                <w:bCs/>
                <w:color w:val="FFFFFF"/>
                <w:sz w:val="24"/>
                <w:szCs w:val="24"/>
              </w:rPr>
              <w:t>Henderson Draft</w:t>
            </w:r>
          </w:p>
        </w:tc>
      </w:tr>
      <w:tr w:rsidR="00387C50" w:rsidRPr="00387C50" w14:paraId="2C13870B" w14:textId="77777777" w:rsidTr="00D67C97">
        <w:tc>
          <w:tcPr>
            <w:tcW w:w="2600" w:type="dxa"/>
            <w:shd w:val="clear" w:color="auto" w:fill="FFFFFF"/>
            <w:tcMar>
              <w:top w:w="80" w:type="dxa"/>
              <w:left w:w="100" w:type="dxa"/>
              <w:bottom w:w="80" w:type="dxa"/>
              <w:right w:w="100" w:type="dxa"/>
            </w:tcMar>
          </w:tcPr>
          <w:p w14:paraId="72E8924E" w14:textId="77777777" w:rsidR="00387C50" w:rsidRPr="00387C50" w:rsidRDefault="00387C50" w:rsidP="00D67C97">
            <w:pPr>
              <w:rPr>
                <w:rFonts w:ascii="Times New Roman" w:hAnsi="Times New Roman"/>
                <w:sz w:val="24"/>
                <w:szCs w:val="24"/>
              </w:rPr>
            </w:pPr>
            <w:r w:rsidRPr="00387C50">
              <w:rPr>
                <w:rFonts w:ascii="Times New Roman" w:hAnsi="Times New Roman"/>
                <w:b/>
                <w:bCs/>
                <w:color w:val="000000"/>
                <w:sz w:val="24"/>
                <w:szCs w:val="24"/>
              </w:rPr>
              <w:t>Outer perimeter setback</w:t>
            </w:r>
          </w:p>
        </w:tc>
        <w:tc>
          <w:tcPr>
            <w:tcW w:w="3500" w:type="dxa"/>
            <w:shd w:val="clear" w:color="auto" w:fill="FFFFFF"/>
            <w:tcMar>
              <w:top w:w="80" w:type="dxa"/>
              <w:left w:w="100" w:type="dxa"/>
              <w:bottom w:w="80" w:type="dxa"/>
              <w:right w:w="100" w:type="dxa"/>
            </w:tcMar>
          </w:tcPr>
          <w:p w14:paraId="5F41A4BC" w14:textId="77777777" w:rsidR="00387C50" w:rsidRPr="00387C50" w:rsidRDefault="00387C50" w:rsidP="00D67C97">
            <w:pPr>
              <w:rPr>
                <w:rFonts w:ascii="Times New Roman" w:hAnsi="Times New Roman"/>
                <w:sz w:val="24"/>
                <w:szCs w:val="24"/>
              </w:rPr>
            </w:pPr>
            <w:r w:rsidRPr="00387C50">
              <w:rPr>
                <w:rFonts w:ascii="Times New Roman" w:hAnsi="Times New Roman"/>
                <w:color w:val="000000"/>
                <w:sz w:val="24"/>
                <w:szCs w:val="24"/>
              </w:rPr>
              <w:t>500 feet</w:t>
            </w:r>
          </w:p>
        </w:tc>
        <w:tc>
          <w:tcPr>
            <w:tcW w:w="3500" w:type="dxa"/>
            <w:shd w:val="clear" w:color="auto" w:fill="FFFFFF"/>
            <w:tcMar>
              <w:top w:w="80" w:type="dxa"/>
              <w:left w:w="100" w:type="dxa"/>
              <w:bottom w:w="80" w:type="dxa"/>
              <w:right w:w="100" w:type="dxa"/>
            </w:tcMar>
          </w:tcPr>
          <w:p w14:paraId="74599770" w14:textId="42178870" w:rsidR="00387C50" w:rsidRPr="00387C50" w:rsidRDefault="001B24F9" w:rsidP="00D67C97">
            <w:pPr>
              <w:rPr>
                <w:rFonts w:ascii="Times New Roman" w:hAnsi="Times New Roman"/>
                <w:sz w:val="24"/>
                <w:szCs w:val="24"/>
              </w:rPr>
            </w:pPr>
            <w:r w:rsidRPr="001B24F9">
              <w:rPr>
                <w:rFonts w:ascii="Times New Roman" w:hAnsi="Times New Roman"/>
                <w:color w:val="000000"/>
                <w:sz w:val="24"/>
                <w:szCs w:val="24"/>
              </w:rPr>
              <w:t>1,500 feet; may be reduced along a specifically identified adjoining-property boundary to no less than 750 feet, subject to written waiver, Board approval, acoustical findings, and required mitigation.</w:t>
            </w:r>
          </w:p>
        </w:tc>
      </w:tr>
      <w:tr w:rsidR="00387C50" w:rsidRPr="00387C50" w14:paraId="6082932E" w14:textId="77777777" w:rsidTr="00D67C97">
        <w:tc>
          <w:tcPr>
            <w:tcW w:w="2600" w:type="dxa"/>
            <w:shd w:val="clear" w:color="auto" w:fill="F2F2F2"/>
            <w:tcMar>
              <w:top w:w="80" w:type="dxa"/>
              <w:left w:w="100" w:type="dxa"/>
              <w:bottom w:w="80" w:type="dxa"/>
              <w:right w:w="100" w:type="dxa"/>
            </w:tcMar>
          </w:tcPr>
          <w:p w14:paraId="04308572" w14:textId="7ADE6FE5" w:rsidR="00387C50" w:rsidRPr="00387C50" w:rsidRDefault="00CF15DD" w:rsidP="00D67C97">
            <w:pPr>
              <w:rPr>
                <w:rFonts w:ascii="Times New Roman" w:hAnsi="Times New Roman"/>
                <w:sz w:val="24"/>
                <w:szCs w:val="24"/>
              </w:rPr>
            </w:pPr>
            <w:r w:rsidRPr="00CF15DD">
              <w:rPr>
                <w:rFonts w:ascii="Times New Roman" w:hAnsi="Times New Roman"/>
                <w:b/>
                <w:bCs/>
                <w:color w:val="000000"/>
                <w:sz w:val="24"/>
                <w:szCs w:val="24"/>
              </w:rPr>
              <w:t>Setback from Sensitive Uses or Residential, Commercial, or Agricultural District boundaries</w:t>
            </w:r>
          </w:p>
        </w:tc>
        <w:tc>
          <w:tcPr>
            <w:tcW w:w="3500" w:type="dxa"/>
            <w:shd w:val="clear" w:color="auto" w:fill="F2F2F2"/>
            <w:tcMar>
              <w:top w:w="80" w:type="dxa"/>
              <w:left w:w="100" w:type="dxa"/>
              <w:bottom w:w="80" w:type="dxa"/>
              <w:right w:w="100" w:type="dxa"/>
            </w:tcMar>
          </w:tcPr>
          <w:p w14:paraId="547C0EB9" w14:textId="4C78FEA3" w:rsidR="00387C50" w:rsidRPr="00387C50" w:rsidRDefault="00387C50" w:rsidP="00D67C97">
            <w:pPr>
              <w:rPr>
                <w:rFonts w:ascii="Times New Roman" w:hAnsi="Times New Roman"/>
                <w:sz w:val="24"/>
                <w:szCs w:val="24"/>
              </w:rPr>
            </w:pPr>
            <w:r w:rsidRPr="00387C50">
              <w:rPr>
                <w:rFonts w:ascii="Times New Roman" w:hAnsi="Times New Roman"/>
                <w:color w:val="000000"/>
                <w:sz w:val="24"/>
                <w:szCs w:val="24"/>
              </w:rPr>
              <w:t>1,</w:t>
            </w:r>
            <w:r w:rsidR="00C93F57">
              <w:rPr>
                <w:rFonts w:ascii="Times New Roman" w:hAnsi="Times New Roman"/>
                <w:color w:val="000000"/>
                <w:sz w:val="24"/>
                <w:szCs w:val="24"/>
              </w:rPr>
              <w:t>5</w:t>
            </w:r>
            <w:r w:rsidRPr="00387C50">
              <w:rPr>
                <w:rFonts w:ascii="Times New Roman" w:hAnsi="Times New Roman"/>
                <w:color w:val="000000"/>
                <w:sz w:val="24"/>
                <w:szCs w:val="24"/>
              </w:rPr>
              <w:t xml:space="preserve">00 </w:t>
            </w:r>
            <w:r w:rsidR="00434B9E">
              <w:rPr>
                <w:rFonts w:ascii="Times New Roman" w:hAnsi="Times New Roman"/>
                <w:color w:val="000000"/>
                <w:sz w:val="24"/>
                <w:szCs w:val="24"/>
              </w:rPr>
              <w:t>feet</w:t>
            </w:r>
          </w:p>
        </w:tc>
        <w:tc>
          <w:tcPr>
            <w:tcW w:w="3500" w:type="dxa"/>
            <w:shd w:val="clear" w:color="auto" w:fill="F2F2F2"/>
            <w:tcMar>
              <w:top w:w="80" w:type="dxa"/>
              <w:left w:w="100" w:type="dxa"/>
              <w:bottom w:w="80" w:type="dxa"/>
              <w:right w:w="100" w:type="dxa"/>
            </w:tcMar>
          </w:tcPr>
          <w:p w14:paraId="364DC4C5" w14:textId="41143939" w:rsidR="00387C50" w:rsidRPr="00387C50" w:rsidRDefault="002278AA" w:rsidP="00D67C97">
            <w:pPr>
              <w:rPr>
                <w:rFonts w:ascii="Times New Roman" w:hAnsi="Times New Roman"/>
                <w:sz w:val="24"/>
                <w:szCs w:val="24"/>
              </w:rPr>
            </w:pPr>
            <w:r w:rsidRPr="002278AA">
              <w:rPr>
                <w:rFonts w:ascii="Times New Roman" w:hAnsi="Times New Roman"/>
                <w:color w:val="000000"/>
                <w:sz w:val="24"/>
                <w:szCs w:val="24"/>
              </w:rPr>
              <w:t>2,000 feet from a Sensitive Use or the boundary of any Residential, Commercial, or Agricultural District. This setback may not be waived or reduced.</w:t>
            </w:r>
          </w:p>
        </w:tc>
      </w:tr>
      <w:tr w:rsidR="00387C50" w:rsidRPr="00387C50" w14:paraId="415AF87F" w14:textId="77777777" w:rsidTr="00D67C97">
        <w:tc>
          <w:tcPr>
            <w:tcW w:w="2600" w:type="dxa"/>
            <w:shd w:val="clear" w:color="auto" w:fill="FFFFFF"/>
            <w:tcMar>
              <w:top w:w="80" w:type="dxa"/>
              <w:left w:w="100" w:type="dxa"/>
              <w:bottom w:w="80" w:type="dxa"/>
              <w:right w:w="100" w:type="dxa"/>
            </w:tcMar>
          </w:tcPr>
          <w:p w14:paraId="0C552ED8" w14:textId="5B1099F4" w:rsidR="00387C50" w:rsidRPr="00387C50" w:rsidRDefault="003E6E7D" w:rsidP="00D67C97">
            <w:pPr>
              <w:rPr>
                <w:rFonts w:ascii="Times New Roman" w:hAnsi="Times New Roman"/>
                <w:sz w:val="24"/>
                <w:szCs w:val="24"/>
              </w:rPr>
            </w:pPr>
            <w:r>
              <w:rPr>
                <w:rFonts w:ascii="Times New Roman" w:hAnsi="Times New Roman"/>
                <w:b/>
                <w:bCs/>
                <w:color w:val="000000"/>
                <w:sz w:val="24"/>
                <w:szCs w:val="24"/>
              </w:rPr>
              <w:t xml:space="preserve"> </w:t>
            </w:r>
            <w:r w:rsidRPr="003E6E7D">
              <w:rPr>
                <w:rFonts w:ascii="Times New Roman" w:hAnsi="Times New Roman"/>
                <w:b/>
                <w:bCs/>
                <w:color w:val="000000"/>
                <w:sz w:val="24"/>
                <w:szCs w:val="24"/>
              </w:rPr>
              <w:t>Emission point or exhaust-stack setback</w:t>
            </w:r>
          </w:p>
        </w:tc>
        <w:tc>
          <w:tcPr>
            <w:tcW w:w="3500" w:type="dxa"/>
            <w:shd w:val="clear" w:color="auto" w:fill="FFFFFF"/>
            <w:tcMar>
              <w:top w:w="80" w:type="dxa"/>
              <w:left w:w="100" w:type="dxa"/>
              <w:bottom w:w="80" w:type="dxa"/>
              <w:right w:w="100" w:type="dxa"/>
            </w:tcMar>
          </w:tcPr>
          <w:p w14:paraId="3AF2D3DC" w14:textId="6C5C0D93" w:rsidR="00387C50" w:rsidRPr="00387C50" w:rsidRDefault="00307A6C" w:rsidP="00D67C97">
            <w:pPr>
              <w:rPr>
                <w:rFonts w:ascii="Times New Roman" w:hAnsi="Times New Roman"/>
                <w:sz w:val="24"/>
                <w:szCs w:val="24"/>
              </w:rPr>
            </w:pPr>
            <w:r w:rsidRPr="00307A6C">
              <w:rPr>
                <w:rFonts w:ascii="Times New Roman" w:hAnsi="Times New Roman"/>
                <w:color w:val="000000"/>
                <w:sz w:val="24"/>
                <w:szCs w:val="24"/>
              </w:rPr>
              <w:t xml:space="preserve">1,000 feet from the property boundary of an adjacent property; and 2,000 feet from any Sensitive </w:t>
            </w:r>
            <w:r w:rsidRPr="00307A6C">
              <w:rPr>
                <w:rFonts w:ascii="Times New Roman" w:hAnsi="Times New Roman"/>
                <w:color w:val="000000"/>
                <w:sz w:val="24"/>
                <w:szCs w:val="24"/>
              </w:rPr>
              <w:lastRenderedPageBreak/>
              <w:t>Use or the boundary of any Residential, Commercial, or Agricultural District.</w:t>
            </w:r>
          </w:p>
        </w:tc>
        <w:tc>
          <w:tcPr>
            <w:tcW w:w="3500" w:type="dxa"/>
            <w:shd w:val="clear" w:color="auto" w:fill="FFFFFF"/>
            <w:tcMar>
              <w:top w:w="80" w:type="dxa"/>
              <w:left w:w="100" w:type="dxa"/>
              <w:bottom w:w="80" w:type="dxa"/>
              <w:right w:w="100" w:type="dxa"/>
            </w:tcMar>
          </w:tcPr>
          <w:p w14:paraId="10B66C07" w14:textId="2E6028FA" w:rsidR="00387C50" w:rsidRPr="00387C50" w:rsidRDefault="00C46DE8" w:rsidP="00D67C97">
            <w:pPr>
              <w:rPr>
                <w:rFonts w:ascii="Times New Roman" w:hAnsi="Times New Roman"/>
                <w:sz w:val="24"/>
                <w:szCs w:val="24"/>
              </w:rPr>
            </w:pPr>
            <w:r w:rsidRPr="00C46DE8">
              <w:rPr>
                <w:rFonts w:ascii="Times New Roman" w:hAnsi="Times New Roman"/>
                <w:color w:val="000000"/>
                <w:sz w:val="24"/>
                <w:szCs w:val="24"/>
              </w:rPr>
              <w:lastRenderedPageBreak/>
              <w:t xml:space="preserve">2,000 feet from an adjacent property boundary, Sensitive Use, or the boundary of a Residential, </w:t>
            </w:r>
            <w:r w:rsidRPr="00C46DE8">
              <w:rPr>
                <w:rFonts w:ascii="Times New Roman" w:hAnsi="Times New Roman"/>
                <w:color w:val="000000"/>
                <w:sz w:val="24"/>
                <w:szCs w:val="24"/>
              </w:rPr>
              <w:lastRenderedPageBreak/>
              <w:t>Commercial, or Agricultural District.</w:t>
            </w:r>
          </w:p>
        </w:tc>
      </w:tr>
      <w:tr w:rsidR="00387C50" w:rsidRPr="00387C50" w14:paraId="5A9A8770" w14:textId="77777777" w:rsidTr="00D67C97">
        <w:tc>
          <w:tcPr>
            <w:tcW w:w="2600" w:type="dxa"/>
            <w:shd w:val="clear" w:color="auto" w:fill="F2F2F2"/>
            <w:tcMar>
              <w:top w:w="80" w:type="dxa"/>
              <w:left w:w="100" w:type="dxa"/>
              <w:bottom w:w="80" w:type="dxa"/>
              <w:right w:w="100" w:type="dxa"/>
            </w:tcMar>
          </w:tcPr>
          <w:p w14:paraId="59FC0391" w14:textId="77777777" w:rsidR="00387C50" w:rsidRPr="00387C50" w:rsidRDefault="00387C50" w:rsidP="00D67C97">
            <w:pPr>
              <w:rPr>
                <w:rFonts w:ascii="Times New Roman" w:hAnsi="Times New Roman"/>
                <w:sz w:val="24"/>
                <w:szCs w:val="24"/>
              </w:rPr>
            </w:pPr>
            <w:r w:rsidRPr="00387C50">
              <w:rPr>
                <w:rFonts w:ascii="Times New Roman" w:hAnsi="Times New Roman"/>
                <w:b/>
                <w:bCs/>
                <w:color w:val="000000"/>
                <w:sz w:val="24"/>
                <w:szCs w:val="24"/>
              </w:rPr>
              <w:lastRenderedPageBreak/>
              <w:t>Noise limit at property line</w:t>
            </w:r>
          </w:p>
        </w:tc>
        <w:tc>
          <w:tcPr>
            <w:tcW w:w="3500" w:type="dxa"/>
            <w:shd w:val="clear" w:color="auto" w:fill="F2F2F2"/>
            <w:tcMar>
              <w:top w:w="80" w:type="dxa"/>
              <w:left w:w="100" w:type="dxa"/>
              <w:bottom w:w="80" w:type="dxa"/>
              <w:right w:w="100" w:type="dxa"/>
            </w:tcMar>
          </w:tcPr>
          <w:p w14:paraId="3421ACF1" w14:textId="77777777" w:rsidR="00387C50" w:rsidRPr="00387C50" w:rsidRDefault="00387C50" w:rsidP="00D67C97">
            <w:pPr>
              <w:rPr>
                <w:rFonts w:ascii="Times New Roman" w:hAnsi="Times New Roman"/>
                <w:sz w:val="24"/>
                <w:szCs w:val="24"/>
              </w:rPr>
            </w:pPr>
            <w:r w:rsidRPr="00387C50">
              <w:rPr>
                <w:rFonts w:ascii="Times New Roman" w:hAnsi="Times New Roman"/>
                <w:color w:val="000000"/>
                <w:sz w:val="24"/>
                <w:szCs w:val="24"/>
              </w:rPr>
              <w:t xml:space="preserve">40 dBA / 60 </w:t>
            </w:r>
            <w:proofErr w:type="spellStart"/>
            <w:r w:rsidRPr="00387C50">
              <w:rPr>
                <w:rFonts w:ascii="Times New Roman" w:hAnsi="Times New Roman"/>
                <w:color w:val="000000"/>
                <w:sz w:val="24"/>
                <w:szCs w:val="24"/>
              </w:rPr>
              <w:t>dBC</w:t>
            </w:r>
            <w:proofErr w:type="spellEnd"/>
            <w:r w:rsidRPr="00387C50">
              <w:rPr>
                <w:rFonts w:ascii="Times New Roman" w:hAnsi="Times New Roman"/>
                <w:color w:val="000000"/>
                <w:sz w:val="24"/>
                <w:szCs w:val="24"/>
              </w:rPr>
              <w:t xml:space="preserve"> at night; 45 dBA / 65 </w:t>
            </w:r>
            <w:proofErr w:type="spellStart"/>
            <w:r w:rsidRPr="00387C50">
              <w:rPr>
                <w:rFonts w:ascii="Times New Roman" w:hAnsi="Times New Roman"/>
                <w:color w:val="000000"/>
                <w:sz w:val="24"/>
                <w:szCs w:val="24"/>
              </w:rPr>
              <w:t>dBC</w:t>
            </w:r>
            <w:proofErr w:type="spellEnd"/>
            <w:r w:rsidRPr="00387C50">
              <w:rPr>
                <w:rFonts w:ascii="Times New Roman" w:hAnsi="Times New Roman"/>
                <w:color w:val="000000"/>
                <w:sz w:val="24"/>
                <w:szCs w:val="24"/>
              </w:rPr>
              <w:t xml:space="preserve"> daytime</w:t>
            </w:r>
          </w:p>
        </w:tc>
        <w:tc>
          <w:tcPr>
            <w:tcW w:w="3500" w:type="dxa"/>
            <w:shd w:val="clear" w:color="auto" w:fill="F2F2F2"/>
            <w:tcMar>
              <w:top w:w="80" w:type="dxa"/>
              <w:left w:w="100" w:type="dxa"/>
              <w:bottom w:w="80" w:type="dxa"/>
              <w:right w:w="100" w:type="dxa"/>
            </w:tcMar>
          </w:tcPr>
          <w:p w14:paraId="0AF4562C" w14:textId="58BCC77B" w:rsidR="00387C50" w:rsidRPr="00387C50" w:rsidRDefault="00EA6009" w:rsidP="00D67C97">
            <w:pPr>
              <w:rPr>
                <w:rFonts w:ascii="Times New Roman" w:hAnsi="Times New Roman"/>
                <w:sz w:val="24"/>
                <w:szCs w:val="24"/>
              </w:rPr>
            </w:pPr>
            <w:r>
              <w:rPr>
                <w:rFonts w:ascii="Times New Roman" w:hAnsi="Times New Roman"/>
                <w:color w:val="000000"/>
                <w:sz w:val="24"/>
                <w:szCs w:val="24"/>
              </w:rPr>
              <w:t xml:space="preserve">35 </w:t>
            </w:r>
            <w:r w:rsidRPr="00EA6009">
              <w:rPr>
                <w:rFonts w:ascii="Times New Roman" w:hAnsi="Times New Roman"/>
                <w:color w:val="000000"/>
                <w:sz w:val="24"/>
                <w:szCs w:val="24"/>
              </w:rPr>
              <w:t xml:space="preserve">dBA / 45 </w:t>
            </w:r>
            <w:proofErr w:type="spellStart"/>
            <w:r w:rsidRPr="00EA6009">
              <w:rPr>
                <w:rFonts w:ascii="Times New Roman" w:hAnsi="Times New Roman"/>
                <w:color w:val="000000"/>
                <w:sz w:val="24"/>
                <w:szCs w:val="24"/>
              </w:rPr>
              <w:t>dBC</w:t>
            </w:r>
            <w:proofErr w:type="spellEnd"/>
            <w:r w:rsidRPr="00EA6009">
              <w:rPr>
                <w:rFonts w:ascii="Times New Roman" w:hAnsi="Times New Roman"/>
                <w:color w:val="000000"/>
                <w:sz w:val="24"/>
                <w:szCs w:val="24"/>
              </w:rPr>
              <w:t xml:space="preserve"> at all external perimeter property lines, subject only to the limited exemptions identified in Section 5.</w:t>
            </w:r>
            <w:r>
              <w:rPr>
                <w:rFonts w:ascii="Times New Roman" w:hAnsi="Times New Roman"/>
                <w:color w:val="000000"/>
                <w:sz w:val="24"/>
                <w:szCs w:val="24"/>
              </w:rPr>
              <w:t xml:space="preserve"> </w:t>
            </w:r>
            <w:r w:rsidRPr="00EA6009">
              <w:rPr>
                <w:rFonts w:ascii="Times New Roman" w:hAnsi="Times New Roman"/>
                <w:color w:val="000000"/>
                <w:sz w:val="24"/>
                <w:szCs w:val="24"/>
              </w:rPr>
              <w:t>H (5). Routine generator testing and commissioning remain subject to the limits.</w:t>
            </w:r>
          </w:p>
        </w:tc>
      </w:tr>
      <w:tr w:rsidR="00387C50" w:rsidRPr="00387C50" w14:paraId="0C9C0AD1" w14:textId="77777777" w:rsidTr="00D67C97">
        <w:tc>
          <w:tcPr>
            <w:tcW w:w="2600" w:type="dxa"/>
            <w:shd w:val="clear" w:color="auto" w:fill="FFFFFF"/>
            <w:tcMar>
              <w:top w:w="80" w:type="dxa"/>
              <w:left w:w="100" w:type="dxa"/>
              <w:bottom w:w="80" w:type="dxa"/>
              <w:right w:w="100" w:type="dxa"/>
            </w:tcMar>
          </w:tcPr>
          <w:p w14:paraId="754AA907" w14:textId="77777777" w:rsidR="00387C50" w:rsidRPr="00387C50" w:rsidRDefault="00387C50" w:rsidP="00D67C97">
            <w:pPr>
              <w:rPr>
                <w:rFonts w:ascii="Times New Roman" w:hAnsi="Times New Roman"/>
                <w:sz w:val="24"/>
                <w:szCs w:val="24"/>
              </w:rPr>
            </w:pPr>
            <w:r w:rsidRPr="00387C50">
              <w:rPr>
                <w:rFonts w:ascii="Times New Roman" w:hAnsi="Times New Roman"/>
                <w:b/>
                <w:bCs/>
                <w:color w:val="000000"/>
                <w:sz w:val="24"/>
                <w:szCs w:val="24"/>
              </w:rPr>
              <w:t>Zoning district</w:t>
            </w:r>
          </w:p>
        </w:tc>
        <w:tc>
          <w:tcPr>
            <w:tcW w:w="3500" w:type="dxa"/>
            <w:shd w:val="clear" w:color="auto" w:fill="FFFFFF"/>
            <w:tcMar>
              <w:top w:w="80" w:type="dxa"/>
              <w:left w:w="100" w:type="dxa"/>
              <w:bottom w:w="80" w:type="dxa"/>
              <w:right w:w="100" w:type="dxa"/>
            </w:tcMar>
          </w:tcPr>
          <w:p w14:paraId="4C436D79" w14:textId="6CBA275C" w:rsidR="00387C50" w:rsidRPr="00387C50" w:rsidRDefault="00387C50" w:rsidP="00D67C97">
            <w:pPr>
              <w:rPr>
                <w:rFonts w:ascii="Times New Roman" w:hAnsi="Times New Roman"/>
                <w:sz w:val="24"/>
                <w:szCs w:val="24"/>
              </w:rPr>
            </w:pPr>
            <w:r w:rsidRPr="00387C50">
              <w:rPr>
                <w:rFonts w:ascii="Times New Roman" w:hAnsi="Times New Roman"/>
                <w:color w:val="000000"/>
                <w:sz w:val="24"/>
                <w:szCs w:val="24"/>
              </w:rPr>
              <w:t xml:space="preserve">“Industrial – Data Center” </w:t>
            </w:r>
          </w:p>
        </w:tc>
        <w:tc>
          <w:tcPr>
            <w:tcW w:w="3500" w:type="dxa"/>
            <w:shd w:val="clear" w:color="auto" w:fill="FFFFFF"/>
            <w:tcMar>
              <w:top w:w="80" w:type="dxa"/>
              <w:left w:w="100" w:type="dxa"/>
              <w:bottom w:w="80" w:type="dxa"/>
              <w:right w:w="100" w:type="dxa"/>
            </w:tcMar>
          </w:tcPr>
          <w:p w14:paraId="51CBA594" w14:textId="77777777" w:rsidR="00387C50" w:rsidRPr="00387C50" w:rsidRDefault="00387C50" w:rsidP="00D67C97">
            <w:pPr>
              <w:rPr>
                <w:rFonts w:ascii="Times New Roman" w:hAnsi="Times New Roman"/>
                <w:sz w:val="24"/>
                <w:szCs w:val="24"/>
              </w:rPr>
            </w:pPr>
            <w:r w:rsidRPr="00387C50">
              <w:rPr>
                <w:rFonts w:ascii="Times New Roman" w:hAnsi="Times New Roman"/>
                <w:color w:val="000000"/>
                <w:sz w:val="24"/>
                <w:szCs w:val="24"/>
              </w:rPr>
              <w:t>Heavy Industrial (M-2), specifically</w:t>
            </w:r>
          </w:p>
        </w:tc>
      </w:tr>
    </w:tbl>
    <w:p w14:paraId="5957A48E" w14:textId="2298CBEB" w:rsidR="00387C50" w:rsidRPr="00387C50" w:rsidRDefault="00387C50" w:rsidP="00387C50">
      <w:pPr>
        <w:spacing w:after="200"/>
        <w:rPr>
          <w:rFonts w:ascii="Times New Roman" w:hAnsi="Times New Roman"/>
          <w:sz w:val="24"/>
          <w:szCs w:val="24"/>
        </w:rPr>
      </w:pPr>
      <w:r w:rsidRPr="00387C50">
        <w:rPr>
          <w:rFonts w:ascii="Times New Roman" w:hAnsi="Times New Roman"/>
          <w:i/>
          <w:iCs/>
          <w:color w:val="5A5A5A"/>
          <w:sz w:val="24"/>
          <w:szCs w:val="24"/>
        </w:rPr>
        <w:t xml:space="preserve">Bottom line: a data center </w:t>
      </w:r>
      <w:r w:rsidR="00A24544" w:rsidRPr="00387C50">
        <w:rPr>
          <w:rFonts w:ascii="Times New Roman" w:hAnsi="Times New Roman"/>
          <w:i/>
          <w:iCs/>
          <w:color w:val="5A5A5A"/>
          <w:sz w:val="24"/>
          <w:szCs w:val="24"/>
        </w:rPr>
        <w:t>must</w:t>
      </w:r>
      <w:r w:rsidRPr="00387C50">
        <w:rPr>
          <w:rFonts w:ascii="Times New Roman" w:hAnsi="Times New Roman"/>
          <w:i/>
          <w:iCs/>
          <w:color w:val="5A5A5A"/>
          <w:sz w:val="24"/>
          <w:szCs w:val="24"/>
        </w:rPr>
        <w:t xml:space="preserve"> sit farther from the property line and run quieter under Henderson's draft than under the model ordinance.</w:t>
      </w:r>
    </w:p>
    <w:p w14:paraId="1250B102" w14:textId="77777777" w:rsidR="00387C50" w:rsidRPr="00387C50" w:rsidRDefault="00387C50" w:rsidP="00387C50">
      <w:pPr>
        <w:pStyle w:val="Heading1"/>
        <w:pBdr>
          <w:bottom w:val="single" w:sz="8" w:space="4" w:color="1F3A5F"/>
        </w:pBdr>
        <w:spacing w:before="320" w:after="160"/>
        <w:rPr>
          <w:sz w:val="24"/>
          <w:szCs w:val="24"/>
        </w:rPr>
      </w:pPr>
      <w:r w:rsidRPr="00387C50">
        <w:rPr>
          <w:b/>
          <w:bCs/>
          <w:color w:val="1F3A5F"/>
          <w:sz w:val="24"/>
          <w:szCs w:val="24"/>
        </w:rPr>
        <w:t>2. New Public Engagement Requirement</w:t>
      </w:r>
    </w:p>
    <w:p w14:paraId="3CA34FE6" w14:textId="4EA20B28" w:rsidR="00387C50" w:rsidRPr="00387C50" w:rsidRDefault="00387C50" w:rsidP="00387C50">
      <w:pPr>
        <w:pStyle w:val="ListParagraph"/>
        <w:numPr>
          <w:ilvl w:val="0"/>
          <w:numId w:val="3"/>
        </w:numPr>
        <w:suppressAutoHyphens w:val="0"/>
        <w:spacing w:after="80" w:line="240" w:lineRule="auto"/>
        <w:contextualSpacing w:val="0"/>
        <w:rPr>
          <w:rFonts w:ascii="Times New Roman" w:hAnsi="Times New Roman"/>
        </w:rPr>
      </w:pPr>
      <w:r w:rsidRPr="00387C50">
        <w:rPr>
          <w:rFonts w:ascii="Times New Roman" w:hAnsi="Times New Roman"/>
        </w:rPr>
        <w:t xml:space="preserve">A required public </w:t>
      </w:r>
      <w:r w:rsidR="00555584" w:rsidRPr="00387C50">
        <w:rPr>
          <w:rFonts w:ascii="Times New Roman" w:hAnsi="Times New Roman"/>
        </w:rPr>
        <w:t>information</w:t>
      </w:r>
      <w:r w:rsidRPr="00387C50">
        <w:rPr>
          <w:rFonts w:ascii="Times New Roman" w:hAnsi="Times New Roman"/>
        </w:rPr>
        <w:t xml:space="preserve"> meeting before an application can even be </w:t>
      </w:r>
      <w:r w:rsidR="00894061">
        <w:rPr>
          <w:rFonts w:ascii="Times New Roman" w:hAnsi="Times New Roman"/>
        </w:rPr>
        <w:t>filed, not</w:t>
      </w:r>
      <w:r w:rsidRPr="00387C50">
        <w:rPr>
          <w:rFonts w:ascii="Times New Roman" w:hAnsi="Times New Roman"/>
        </w:rPr>
        <w:t xml:space="preserve"> in the KRC model.</w:t>
      </w:r>
    </w:p>
    <w:p w14:paraId="603D10E8" w14:textId="72CC35D9" w:rsidR="00387C50" w:rsidRPr="00387C50" w:rsidRDefault="00EC11BF" w:rsidP="00387C50">
      <w:pPr>
        <w:pStyle w:val="ListParagraph"/>
        <w:numPr>
          <w:ilvl w:val="0"/>
          <w:numId w:val="3"/>
        </w:numPr>
        <w:suppressAutoHyphens w:val="0"/>
        <w:spacing w:after="80" w:line="240" w:lineRule="auto"/>
        <w:contextualSpacing w:val="0"/>
        <w:rPr>
          <w:rFonts w:ascii="Times New Roman" w:hAnsi="Times New Roman"/>
        </w:rPr>
      </w:pPr>
      <w:r>
        <w:rPr>
          <w:rFonts w:ascii="Times New Roman" w:hAnsi="Times New Roman"/>
        </w:rPr>
        <w:t xml:space="preserve"> </w:t>
      </w:r>
      <w:r w:rsidRPr="00EC11BF">
        <w:rPr>
          <w:rFonts w:ascii="Times New Roman" w:hAnsi="Times New Roman"/>
        </w:rPr>
        <w:t>Applicants must document that the public informational meeting was held, that public notice was provided, the materials presented at the meeting, and a summary of public comments or questions received.</w:t>
      </w:r>
    </w:p>
    <w:p w14:paraId="21BE72C5" w14:textId="373DEB7C" w:rsidR="00387C50" w:rsidRPr="00387C50" w:rsidRDefault="0048638F" w:rsidP="00387C50">
      <w:pPr>
        <w:pStyle w:val="ListParagraph"/>
        <w:numPr>
          <w:ilvl w:val="0"/>
          <w:numId w:val="3"/>
        </w:numPr>
        <w:suppressAutoHyphens w:val="0"/>
        <w:spacing w:after="80" w:line="240" w:lineRule="auto"/>
        <w:contextualSpacing w:val="0"/>
        <w:rPr>
          <w:rFonts w:ascii="Times New Roman" w:hAnsi="Times New Roman"/>
        </w:rPr>
      </w:pPr>
      <w:r w:rsidRPr="0048638F">
        <w:rPr>
          <w:rFonts w:ascii="Times New Roman" w:hAnsi="Times New Roman"/>
        </w:rPr>
        <w:t>Reasonable efforts to provide mailed notice to all owners of land within one mile of the property line of the proposed site, as a local pre-filing requirement in addition to any otherwise applicable state notice requirements.</w:t>
      </w:r>
    </w:p>
    <w:p w14:paraId="2245A4EB" w14:textId="1BFC6982" w:rsidR="00387C50" w:rsidRPr="00387C50" w:rsidRDefault="00387C50" w:rsidP="00387C50">
      <w:pPr>
        <w:pStyle w:val="ListParagraph"/>
        <w:numPr>
          <w:ilvl w:val="0"/>
          <w:numId w:val="3"/>
        </w:numPr>
        <w:suppressAutoHyphens w:val="0"/>
        <w:spacing w:after="80" w:line="240" w:lineRule="auto"/>
        <w:contextualSpacing w:val="0"/>
        <w:rPr>
          <w:rFonts w:ascii="Times New Roman" w:hAnsi="Times New Roman"/>
        </w:rPr>
      </w:pPr>
      <w:r w:rsidRPr="00387C50">
        <w:rPr>
          <w:rFonts w:ascii="Times New Roman" w:hAnsi="Times New Roman"/>
        </w:rPr>
        <w:t>A Photometric Plan is required to back up the lighting standards</w:t>
      </w:r>
      <w:r w:rsidR="006918CD">
        <w:rPr>
          <w:rFonts w:ascii="Times New Roman" w:hAnsi="Times New Roman"/>
        </w:rPr>
        <w:t>.</w:t>
      </w:r>
    </w:p>
    <w:p w14:paraId="64D48B6F" w14:textId="5340C7CD" w:rsidR="00387C50" w:rsidRPr="00387C50" w:rsidRDefault="00387C50" w:rsidP="00387C50">
      <w:pPr>
        <w:pStyle w:val="Heading1"/>
        <w:pBdr>
          <w:bottom w:val="single" w:sz="8" w:space="4" w:color="1F3A5F"/>
        </w:pBdr>
        <w:spacing w:before="320" w:after="160"/>
        <w:rPr>
          <w:sz w:val="24"/>
          <w:szCs w:val="24"/>
        </w:rPr>
      </w:pPr>
      <w:r w:rsidRPr="00387C50">
        <w:rPr>
          <w:b/>
          <w:bCs/>
          <w:color w:val="1F3A5F"/>
          <w:sz w:val="24"/>
          <w:szCs w:val="24"/>
        </w:rPr>
        <w:t>3. Permit Expiration</w:t>
      </w:r>
    </w:p>
    <w:p w14:paraId="48F606C7" w14:textId="2A44B112" w:rsidR="00387C50" w:rsidRPr="00387C50" w:rsidRDefault="00387C50" w:rsidP="00387C50">
      <w:pPr>
        <w:pStyle w:val="ListParagraph"/>
        <w:numPr>
          <w:ilvl w:val="0"/>
          <w:numId w:val="3"/>
        </w:numPr>
        <w:suppressAutoHyphens w:val="0"/>
        <w:spacing w:after="80" w:line="240" w:lineRule="auto"/>
        <w:contextualSpacing w:val="0"/>
        <w:rPr>
          <w:rFonts w:ascii="Times New Roman" w:hAnsi="Times New Roman"/>
        </w:rPr>
      </w:pPr>
      <w:r w:rsidRPr="00387C50">
        <w:rPr>
          <w:rFonts w:ascii="Times New Roman" w:hAnsi="Times New Roman"/>
        </w:rPr>
        <w:t xml:space="preserve">Approval expires if a building permit isn't </w:t>
      </w:r>
      <w:r w:rsidR="006918CD">
        <w:rPr>
          <w:rFonts w:ascii="Times New Roman" w:hAnsi="Times New Roman"/>
        </w:rPr>
        <w:t>issued</w:t>
      </w:r>
      <w:r w:rsidRPr="00387C50">
        <w:rPr>
          <w:rFonts w:ascii="Times New Roman" w:hAnsi="Times New Roman"/>
        </w:rPr>
        <w:t xml:space="preserve"> within one year</w:t>
      </w:r>
      <w:r w:rsidR="006918CD">
        <w:rPr>
          <w:rFonts w:ascii="Times New Roman" w:hAnsi="Times New Roman"/>
        </w:rPr>
        <w:t xml:space="preserve">, which is </w:t>
      </w:r>
      <w:r w:rsidRPr="00387C50">
        <w:rPr>
          <w:rFonts w:ascii="Times New Roman" w:hAnsi="Times New Roman"/>
        </w:rPr>
        <w:t>not addressed in the KRC model.</w:t>
      </w:r>
    </w:p>
    <w:p w14:paraId="216ED7E3" w14:textId="4A48E93C" w:rsidR="00387C50" w:rsidRPr="00387C50" w:rsidRDefault="00387C50" w:rsidP="00387C50">
      <w:pPr>
        <w:pStyle w:val="ListParagraph"/>
        <w:numPr>
          <w:ilvl w:val="0"/>
          <w:numId w:val="3"/>
        </w:numPr>
        <w:suppressAutoHyphens w:val="0"/>
        <w:spacing w:after="80" w:line="240" w:lineRule="auto"/>
        <w:contextualSpacing w:val="0"/>
        <w:rPr>
          <w:rFonts w:ascii="Times New Roman" w:hAnsi="Times New Roman"/>
        </w:rPr>
      </w:pPr>
      <w:r w:rsidRPr="00387C50">
        <w:rPr>
          <w:rFonts w:ascii="Times New Roman" w:hAnsi="Times New Roman"/>
        </w:rPr>
        <w:t xml:space="preserve">One-year extension </w:t>
      </w:r>
      <w:r w:rsidR="007945EA" w:rsidRPr="00387C50">
        <w:rPr>
          <w:rFonts w:ascii="Times New Roman" w:hAnsi="Times New Roman"/>
        </w:rPr>
        <w:t>is available</w:t>
      </w:r>
      <w:r w:rsidRPr="00387C50">
        <w:rPr>
          <w:rFonts w:ascii="Times New Roman" w:hAnsi="Times New Roman"/>
        </w:rPr>
        <w:t xml:space="preserve">, but only if the </w:t>
      </w:r>
      <w:proofErr w:type="gramStart"/>
      <w:r w:rsidRPr="00387C50">
        <w:rPr>
          <w:rFonts w:ascii="Times New Roman" w:hAnsi="Times New Roman"/>
        </w:rPr>
        <w:t>county</w:t>
      </w:r>
      <w:proofErr w:type="gramEnd"/>
      <w:r w:rsidRPr="00387C50">
        <w:rPr>
          <w:rFonts w:ascii="Times New Roman" w:hAnsi="Times New Roman"/>
        </w:rPr>
        <w:t xml:space="preserve"> finds the approval still meets the ordinance and still protects public health and safety.</w:t>
      </w:r>
    </w:p>
    <w:p w14:paraId="345CDFE7" w14:textId="77777777" w:rsidR="00387C50" w:rsidRPr="00387C50" w:rsidRDefault="00387C50" w:rsidP="00387C50">
      <w:pPr>
        <w:pStyle w:val="ListParagraph"/>
        <w:numPr>
          <w:ilvl w:val="0"/>
          <w:numId w:val="3"/>
        </w:numPr>
        <w:suppressAutoHyphens w:val="0"/>
        <w:spacing w:after="80" w:line="240" w:lineRule="auto"/>
        <w:contextualSpacing w:val="0"/>
        <w:rPr>
          <w:rFonts w:ascii="Times New Roman" w:hAnsi="Times New Roman"/>
        </w:rPr>
      </w:pPr>
      <w:r w:rsidRPr="00387C50">
        <w:rPr>
          <w:rFonts w:ascii="Times New Roman" w:hAnsi="Times New Roman"/>
        </w:rPr>
        <w:t>Prevents a company from banking a zoning approval indefinitely without building.</w:t>
      </w:r>
    </w:p>
    <w:p w14:paraId="6A0682D9" w14:textId="77777777" w:rsidR="00387C50" w:rsidRPr="00387C50" w:rsidRDefault="00387C50" w:rsidP="00387C50">
      <w:pPr>
        <w:pStyle w:val="Heading1"/>
        <w:pBdr>
          <w:bottom w:val="single" w:sz="8" w:space="4" w:color="1F3A5F"/>
        </w:pBdr>
        <w:spacing w:before="320" w:after="160"/>
        <w:rPr>
          <w:sz w:val="24"/>
          <w:szCs w:val="24"/>
        </w:rPr>
      </w:pPr>
      <w:r w:rsidRPr="00387C50">
        <w:rPr>
          <w:b/>
          <w:bCs/>
          <w:color w:val="1F3A5F"/>
          <w:sz w:val="24"/>
          <w:szCs w:val="24"/>
        </w:rPr>
        <w:t>4. Stronger After-Approval Oversight</w:t>
      </w:r>
    </w:p>
    <w:p w14:paraId="16D6A82F" w14:textId="7DD13F48" w:rsidR="00387C50" w:rsidRPr="00387C50" w:rsidRDefault="00387C50" w:rsidP="00387C50">
      <w:pPr>
        <w:pStyle w:val="ListParagraph"/>
        <w:numPr>
          <w:ilvl w:val="0"/>
          <w:numId w:val="3"/>
        </w:numPr>
        <w:suppressAutoHyphens w:val="0"/>
        <w:spacing w:after="80" w:line="240" w:lineRule="auto"/>
        <w:contextualSpacing w:val="0"/>
        <w:rPr>
          <w:rFonts w:ascii="Times New Roman" w:hAnsi="Times New Roman"/>
        </w:rPr>
      </w:pPr>
      <w:r w:rsidRPr="00387C50">
        <w:rPr>
          <w:rFonts w:ascii="Times New Roman" w:hAnsi="Times New Roman"/>
        </w:rPr>
        <w:t xml:space="preserve">Annual compliance certification </w:t>
      </w:r>
      <w:r w:rsidR="006918CD" w:rsidRPr="00387C50">
        <w:rPr>
          <w:rFonts w:ascii="Times New Roman" w:hAnsi="Times New Roman"/>
        </w:rPr>
        <w:t>is due</w:t>
      </w:r>
      <w:r w:rsidRPr="00387C50">
        <w:rPr>
          <w:rFonts w:ascii="Times New Roman" w:hAnsi="Times New Roman"/>
        </w:rPr>
        <w:t xml:space="preserve"> every January 31, covering operational changes, monitoring results, complaints, and any violations from the prior year.</w:t>
      </w:r>
    </w:p>
    <w:p w14:paraId="43FED563" w14:textId="1C409185" w:rsidR="00387C50" w:rsidRPr="00387C50" w:rsidRDefault="00387C50" w:rsidP="00387C50">
      <w:pPr>
        <w:pStyle w:val="ListParagraph"/>
        <w:numPr>
          <w:ilvl w:val="0"/>
          <w:numId w:val="3"/>
        </w:numPr>
        <w:suppressAutoHyphens w:val="0"/>
        <w:spacing w:after="80" w:line="240" w:lineRule="auto"/>
        <w:contextualSpacing w:val="0"/>
        <w:rPr>
          <w:rFonts w:ascii="Times New Roman" w:hAnsi="Times New Roman"/>
        </w:rPr>
      </w:pPr>
      <w:r w:rsidRPr="00387C50">
        <w:rPr>
          <w:rFonts w:ascii="Times New Roman" w:hAnsi="Times New Roman"/>
        </w:rPr>
        <w:t xml:space="preserve">24/7 complaint </w:t>
      </w:r>
      <w:r w:rsidR="006D4068">
        <w:rPr>
          <w:rFonts w:ascii="Times New Roman" w:hAnsi="Times New Roman"/>
        </w:rPr>
        <w:t>response system</w:t>
      </w:r>
      <w:r w:rsidRPr="00387C50">
        <w:rPr>
          <w:rFonts w:ascii="Times New Roman" w:hAnsi="Times New Roman"/>
        </w:rPr>
        <w:t xml:space="preserve"> required, with firm response deadlines: 2 business days to acknowledge, 10 business days to respond in writing.</w:t>
      </w:r>
    </w:p>
    <w:p w14:paraId="224D074A" w14:textId="0C330735" w:rsidR="00387C50" w:rsidRPr="00387C50" w:rsidRDefault="0060334A" w:rsidP="00387C50">
      <w:pPr>
        <w:pStyle w:val="ListParagraph"/>
        <w:numPr>
          <w:ilvl w:val="0"/>
          <w:numId w:val="3"/>
        </w:numPr>
        <w:suppressAutoHyphens w:val="0"/>
        <w:spacing w:after="80" w:line="240" w:lineRule="auto"/>
        <w:contextualSpacing w:val="0"/>
        <w:rPr>
          <w:rFonts w:ascii="Times New Roman" w:hAnsi="Times New Roman"/>
        </w:rPr>
      </w:pPr>
      <w:r>
        <w:rPr>
          <w:rFonts w:ascii="Times New Roman" w:hAnsi="Times New Roman"/>
        </w:rPr>
        <w:lastRenderedPageBreak/>
        <w:t xml:space="preserve">The County </w:t>
      </w:r>
      <w:r w:rsidRPr="0060334A">
        <w:rPr>
          <w:rFonts w:ascii="Times New Roman" w:hAnsi="Times New Roman"/>
        </w:rPr>
        <w:t>may require independent testing at the owner’s or operator’s expense when a complaint presents credible evidence of a potential violation. Confirmed noncompliance requires a corrective-action plan; failure to timely correct may result in enforcement, including suspension or revocation where authorized by law.</w:t>
      </w:r>
    </w:p>
    <w:p w14:paraId="001D70F0" w14:textId="1F3ACDC1" w:rsidR="00387C50" w:rsidRPr="00387C50" w:rsidRDefault="00387C50" w:rsidP="00387C50">
      <w:pPr>
        <w:pStyle w:val="ListParagraph"/>
        <w:numPr>
          <w:ilvl w:val="0"/>
          <w:numId w:val="3"/>
        </w:numPr>
        <w:suppressAutoHyphens w:val="0"/>
        <w:spacing w:after="80" w:line="240" w:lineRule="auto"/>
        <w:contextualSpacing w:val="0"/>
        <w:rPr>
          <w:rFonts w:ascii="Times New Roman" w:hAnsi="Times New Roman"/>
        </w:rPr>
      </w:pPr>
      <w:r w:rsidRPr="00387C50">
        <w:rPr>
          <w:rFonts w:ascii="Times New Roman" w:hAnsi="Times New Roman"/>
        </w:rPr>
        <w:t xml:space="preserve">A defined list of “material changes” (more power demand, more generators, cooling changes, reduced setbacks, etc.) that </w:t>
      </w:r>
      <w:r w:rsidR="00731284">
        <w:rPr>
          <w:rFonts w:ascii="Times New Roman" w:hAnsi="Times New Roman"/>
        </w:rPr>
        <w:t>automatically require Planning Commission review and approval</w:t>
      </w:r>
      <w:r w:rsidR="00D35777" w:rsidRPr="00D35777">
        <w:rPr>
          <w:rFonts w:ascii="Times New Roman" w:hAnsi="Times New Roman"/>
        </w:rPr>
        <w:t xml:space="preserve"> and may require modification of the Conditional Use Permit by the Board of Zoning Adjustment.</w:t>
      </w:r>
    </w:p>
    <w:p w14:paraId="04824C81" w14:textId="5E62FBC5" w:rsidR="00387C50" w:rsidRPr="00387C50" w:rsidRDefault="00EC11BF" w:rsidP="00387C50">
      <w:pPr>
        <w:pStyle w:val="ListParagraph"/>
        <w:numPr>
          <w:ilvl w:val="0"/>
          <w:numId w:val="3"/>
        </w:numPr>
        <w:suppressAutoHyphens w:val="0"/>
        <w:spacing w:after="80" w:line="240" w:lineRule="auto"/>
        <w:contextualSpacing w:val="0"/>
        <w:rPr>
          <w:rFonts w:ascii="Times New Roman" w:hAnsi="Times New Roman"/>
        </w:rPr>
      </w:pPr>
      <w:r w:rsidRPr="00EC11BF">
        <w:rPr>
          <w:rFonts w:ascii="Times New Roman" w:hAnsi="Times New Roman"/>
        </w:rPr>
        <w:t>Decommissioning financial assurance must equal 120% of the estimated gross decommissioning cost, without any deduction, credit, or offset for anticipated salvage, resale, recycling, or scrap value. The amount must be reviewed at least every two years, with at least 90 days’ prior notice before the assurance may be cancelled, allowed to expire, materially reduced, or terminated.</w:t>
      </w:r>
    </w:p>
    <w:p w14:paraId="15BDB5E0" w14:textId="77777777" w:rsidR="00387C50" w:rsidRPr="00387C50" w:rsidRDefault="00387C50" w:rsidP="00387C50">
      <w:pPr>
        <w:pStyle w:val="Heading1"/>
        <w:pBdr>
          <w:bottom w:val="single" w:sz="8" w:space="4" w:color="1F3A5F"/>
        </w:pBdr>
        <w:spacing w:before="320" w:after="160"/>
        <w:rPr>
          <w:sz w:val="24"/>
          <w:szCs w:val="24"/>
        </w:rPr>
      </w:pPr>
      <w:r w:rsidRPr="00387C50">
        <w:rPr>
          <w:b/>
          <w:bCs/>
          <w:color w:val="1F3A5F"/>
          <w:sz w:val="24"/>
          <w:szCs w:val="24"/>
        </w:rPr>
        <w:t>5. New: Real Property Value Protection Plan (Section 8)</w:t>
      </w:r>
    </w:p>
    <w:p w14:paraId="29F71F64" w14:textId="46423ADF" w:rsidR="00387C50" w:rsidRPr="00387C50" w:rsidRDefault="00387C50" w:rsidP="00387C50">
      <w:pPr>
        <w:pStyle w:val="ListParagraph"/>
        <w:numPr>
          <w:ilvl w:val="0"/>
          <w:numId w:val="3"/>
        </w:numPr>
        <w:suppressAutoHyphens w:val="0"/>
        <w:spacing w:after="80" w:line="240" w:lineRule="auto"/>
        <w:contextualSpacing w:val="0"/>
        <w:rPr>
          <w:rFonts w:ascii="Times New Roman" w:hAnsi="Times New Roman"/>
        </w:rPr>
      </w:pPr>
      <w:r w:rsidRPr="00387C50">
        <w:rPr>
          <w:rFonts w:ascii="Times New Roman" w:hAnsi="Times New Roman"/>
        </w:rPr>
        <w:t>Not in the KRC model at all</w:t>
      </w:r>
      <w:r w:rsidR="00DB6EEE">
        <w:rPr>
          <w:rFonts w:ascii="Times New Roman" w:hAnsi="Times New Roman"/>
        </w:rPr>
        <w:t xml:space="preserve">, which is </w:t>
      </w:r>
      <w:r w:rsidRPr="00387C50">
        <w:rPr>
          <w:rFonts w:ascii="Times New Roman" w:hAnsi="Times New Roman"/>
        </w:rPr>
        <w:t>Henderson-specific.</w:t>
      </w:r>
    </w:p>
    <w:p w14:paraId="087BF7CA" w14:textId="5DF3FF76" w:rsidR="00387C50" w:rsidRPr="00387C50" w:rsidRDefault="00A33F43" w:rsidP="00387C50">
      <w:pPr>
        <w:pStyle w:val="ListParagraph"/>
        <w:numPr>
          <w:ilvl w:val="0"/>
          <w:numId w:val="3"/>
        </w:numPr>
        <w:suppressAutoHyphens w:val="0"/>
        <w:spacing w:after="80" w:line="240" w:lineRule="auto"/>
        <w:contextualSpacing w:val="0"/>
        <w:rPr>
          <w:rFonts w:ascii="Times New Roman" w:hAnsi="Times New Roman"/>
        </w:rPr>
      </w:pPr>
      <w:r w:rsidRPr="00A33F43">
        <w:rPr>
          <w:rFonts w:ascii="Times New Roman" w:hAnsi="Times New Roman"/>
        </w:rPr>
        <w:t>Gives eligible non-participating property owners of record within one mile a path to compensation if they demonstrate an actual loss in property value attributable to the data center. Unless the County expressly provides otherwise as a condition of approval, eligibility is limited to the owner of record on the date the permit is issued and does not automatically extend to subsequent owners.</w:t>
      </w:r>
      <w:r w:rsidR="00F901EB">
        <w:rPr>
          <w:rFonts w:ascii="Times New Roman" w:hAnsi="Times New Roman"/>
        </w:rPr>
        <w:t xml:space="preserve">  </w:t>
      </w:r>
      <w:r w:rsidR="00F901EB" w:rsidRPr="00F901EB">
        <w:rPr>
          <w:rFonts w:ascii="Times New Roman" w:hAnsi="Times New Roman"/>
        </w:rPr>
        <w:t>An eligible property owner may invoke the agreement only once and must do so within ten years after final approval of the Data Center.</w:t>
      </w:r>
    </w:p>
    <w:p w14:paraId="16DDC1E9" w14:textId="5811D7B2" w:rsidR="00387C50" w:rsidRPr="00387C50" w:rsidRDefault="00387C50" w:rsidP="00387C50">
      <w:pPr>
        <w:pStyle w:val="ListParagraph"/>
        <w:numPr>
          <w:ilvl w:val="0"/>
          <w:numId w:val="3"/>
        </w:numPr>
        <w:suppressAutoHyphens w:val="0"/>
        <w:spacing w:after="80" w:line="240" w:lineRule="auto"/>
        <w:contextualSpacing w:val="0"/>
        <w:rPr>
          <w:rFonts w:ascii="Times New Roman" w:hAnsi="Times New Roman"/>
        </w:rPr>
      </w:pPr>
      <w:r w:rsidRPr="00387C50">
        <w:rPr>
          <w:rFonts w:ascii="Times New Roman" w:hAnsi="Times New Roman"/>
        </w:rPr>
        <w:t xml:space="preserve">Process: </w:t>
      </w:r>
      <w:r w:rsidR="00330D2F" w:rsidRPr="00330D2F">
        <w:rPr>
          <w:rFonts w:ascii="Times New Roman" w:hAnsi="Times New Roman"/>
        </w:rPr>
        <w:t xml:space="preserve">Each side selects one </w:t>
      </w:r>
      <w:r w:rsidR="008E2E19" w:rsidRPr="008E2E19">
        <w:rPr>
          <w:rFonts w:ascii="Times New Roman" w:hAnsi="Times New Roman"/>
        </w:rPr>
        <w:t>licensed appraiser</w:t>
      </w:r>
      <w:r w:rsidR="00330D2F" w:rsidRPr="00330D2F">
        <w:rPr>
          <w:rFonts w:ascii="Times New Roman" w:hAnsi="Times New Roman"/>
        </w:rPr>
        <w:t>, with all appraisal costs paid by the applicant. If the two appraisals differ by more than 10%, the appraisers jointly select a third independent appraiser and the median of the three determinations controls. If the first two appraisals differ by 10% or less, the two valuations are averaged.</w:t>
      </w:r>
    </w:p>
    <w:p w14:paraId="5464C858" w14:textId="3A2564FF" w:rsidR="00387C50" w:rsidRPr="00387C50" w:rsidRDefault="00BD0622" w:rsidP="00387C50">
      <w:pPr>
        <w:pStyle w:val="ListParagraph"/>
        <w:numPr>
          <w:ilvl w:val="0"/>
          <w:numId w:val="3"/>
        </w:numPr>
        <w:suppressAutoHyphens w:val="0"/>
        <w:spacing w:after="80" w:line="240" w:lineRule="auto"/>
        <w:contextualSpacing w:val="0"/>
        <w:rPr>
          <w:rFonts w:ascii="Times New Roman" w:hAnsi="Times New Roman"/>
        </w:rPr>
      </w:pPr>
      <w:r w:rsidRPr="00387C50">
        <w:rPr>
          <w:rFonts w:ascii="Times New Roman" w:hAnsi="Times New Roman"/>
        </w:rPr>
        <w:t>Applicants pay</w:t>
      </w:r>
      <w:r w:rsidR="00387C50" w:rsidRPr="00387C50">
        <w:rPr>
          <w:rFonts w:ascii="Times New Roman" w:hAnsi="Times New Roman"/>
        </w:rPr>
        <w:t xml:space="preserve"> all appraisal costs through an escrow account, and payment is due within 30 days of </w:t>
      </w:r>
      <w:r w:rsidR="00DB6EEE" w:rsidRPr="00387C50">
        <w:rPr>
          <w:rFonts w:ascii="Times New Roman" w:hAnsi="Times New Roman"/>
        </w:rPr>
        <w:t>final</w:t>
      </w:r>
      <w:r w:rsidR="00387C50" w:rsidRPr="00387C50">
        <w:rPr>
          <w:rFonts w:ascii="Times New Roman" w:hAnsi="Times New Roman"/>
        </w:rPr>
        <w:t xml:space="preserve"> determination.</w:t>
      </w:r>
    </w:p>
    <w:p w14:paraId="3966BF1C" w14:textId="05DF2CA0" w:rsidR="00387C50" w:rsidRPr="00387C50" w:rsidRDefault="00387C50" w:rsidP="00387C50">
      <w:pPr>
        <w:pStyle w:val="ListParagraph"/>
        <w:numPr>
          <w:ilvl w:val="0"/>
          <w:numId w:val="3"/>
        </w:numPr>
        <w:suppressAutoHyphens w:val="0"/>
        <w:spacing w:after="80" w:line="240" w:lineRule="auto"/>
        <w:contextualSpacing w:val="0"/>
        <w:rPr>
          <w:rFonts w:ascii="Times New Roman" w:hAnsi="Times New Roman"/>
        </w:rPr>
      </w:pPr>
      <w:r w:rsidRPr="00387C50">
        <w:rPr>
          <w:rFonts w:ascii="Times New Roman" w:hAnsi="Times New Roman"/>
        </w:rPr>
        <w:t xml:space="preserve">Backed by a </w:t>
      </w:r>
      <w:r w:rsidR="006D4068">
        <w:rPr>
          <w:rFonts w:ascii="Times New Roman" w:hAnsi="Times New Roman"/>
        </w:rPr>
        <w:t>financial assurance</w:t>
      </w:r>
      <w:r w:rsidR="00FD28B1">
        <w:rPr>
          <w:rFonts w:ascii="Times New Roman" w:hAnsi="Times New Roman"/>
        </w:rPr>
        <w:t xml:space="preserve"> in the form of a b</w:t>
      </w:r>
      <w:r w:rsidR="00FD28B1" w:rsidRPr="00FD28B1">
        <w:rPr>
          <w:rFonts w:ascii="Times New Roman" w:hAnsi="Times New Roman"/>
        </w:rPr>
        <w:t>ond, letter of credit, or other surety acceptable to Henderson County; failure to maintain the surety is grounds for suspension or revocation of the permit.</w:t>
      </w:r>
    </w:p>
    <w:p w14:paraId="35BE5CF4" w14:textId="08D45E30" w:rsidR="00387C50" w:rsidRPr="00387C50" w:rsidRDefault="00387C50" w:rsidP="00387C50">
      <w:pPr>
        <w:pStyle w:val="ListParagraph"/>
        <w:numPr>
          <w:ilvl w:val="0"/>
          <w:numId w:val="3"/>
        </w:numPr>
        <w:suppressAutoHyphens w:val="0"/>
        <w:spacing w:after="80" w:line="240" w:lineRule="auto"/>
        <w:contextualSpacing w:val="0"/>
        <w:rPr>
          <w:rFonts w:ascii="Times New Roman" w:hAnsi="Times New Roman"/>
        </w:rPr>
      </w:pPr>
      <w:r w:rsidRPr="00387C50">
        <w:rPr>
          <w:rFonts w:ascii="Times New Roman" w:hAnsi="Times New Roman"/>
        </w:rPr>
        <w:t>Written as a condition of approval, with no automatic presumption that any property has lost value</w:t>
      </w:r>
      <w:r w:rsidR="006D4068">
        <w:rPr>
          <w:rFonts w:ascii="Times New Roman" w:hAnsi="Times New Roman"/>
        </w:rPr>
        <w:t>;</w:t>
      </w:r>
      <w:r w:rsidRPr="00387C50">
        <w:rPr>
          <w:rFonts w:ascii="Times New Roman" w:hAnsi="Times New Roman"/>
        </w:rPr>
        <w:t xml:space="preserve"> payment only follows an actual, documented loss.</w:t>
      </w:r>
    </w:p>
    <w:p w14:paraId="6300D6ED" w14:textId="77777777" w:rsidR="00387C50" w:rsidRPr="00387C50" w:rsidRDefault="00387C50" w:rsidP="00387C50">
      <w:pPr>
        <w:pStyle w:val="Heading1"/>
        <w:pBdr>
          <w:bottom w:val="single" w:sz="8" w:space="4" w:color="1F3A5F"/>
        </w:pBdr>
        <w:spacing w:before="320" w:after="160"/>
        <w:rPr>
          <w:sz w:val="24"/>
          <w:szCs w:val="24"/>
        </w:rPr>
      </w:pPr>
      <w:r w:rsidRPr="00387C50">
        <w:rPr>
          <w:b/>
          <w:bCs/>
          <w:color w:val="1F3A5F"/>
          <w:sz w:val="24"/>
          <w:szCs w:val="24"/>
        </w:rPr>
        <w:t>Summary Takeaway</w:t>
      </w:r>
    </w:p>
    <w:p w14:paraId="32423D95" w14:textId="77777777" w:rsidR="00387C50" w:rsidRPr="00387C50" w:rsidRDefault="00387C50" w:rsidP="00387C50">
      <w:pPr>
        <w:spacing w:after="120"/>
        <w:rPr>
          <w:rFonts w:ascii="Times New Roman" w:hAnsi="Times New Roman"/>
          <w:sz w:val="24"/>
          <w:szCs w:val="24"/>
        </w:rPr>
      </w:pPr>
      <w:r w:rsidRPr="00387C50">
        <w:rPr>
          <w:rFonts w:ascii="Times New Roman" w:hAnsi="Times New Roman"/>
          <w:sz w:val="24"/>
          <w:szCs w:val="24"/>
        </w:rPr>
        <w:t>Henderson's draft ordinance takes the same regulatory structure as the KRC model but calibrates it for a more protective posture: bigger buffers, a lower noise ceiling, an upfront public-engagement requirement, sharper enforcement tools once the facility is running, and a new mechanism for compensating neighbors for demonstrated property value loss.</w:t>
      </w:r>
    </w:p>
    <w:p w14:paraId="151C937E" w14:textId="77777777" w:rsidR="00387C50" w:rsidRPr="00387C50" w:rsidRDefault="00387C50" w:rsidP="00707F43">
      <w:pPr>
        <w:spacing w:after="240" w:line="360" w:lineRule="auto"/>
        <w:rPr>
          <w:rFonts w:ascii="Times New Roman" w:hAnsi="Times New Roman"/>
          <w:sz w:val="24"/>
          <w:szCs w:val="24"/>
        </w:rPr>
      </w:pPr>
    </w:p>
    <w:sectPr w:rsidR="00387C50" w:rsidRPr="00387C50">
      <w:type w:val="continuous"/>
      <w:pgSz w:w="12240" w:h="15840"/>
      <w:pgMar w:top="864" w:right="864" w:bottom="720" w:left="864" w:header="576" w:footer="288"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BAE1C6" w14:textId="77777777" w:rsidR="00302822" w:rsidRDefault="00302822">
      <w:pPr>
        <w:spacing w:after="0" w:line="240" w:lineRule="auto"/>
      </w:pPr>
      <w:r>
        <w:separator/>
      </w:r>
    </w:p>
  </w:endnote>
  <w:endnote w:type="continuationSeparator" w:id="0">
    <w:p w14:paraId="5F099084" w14:textId="77777777" w:rsidR="00302822" w:rsidRDefault="003028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altName w:val="Times New Roman"/>
    <w:charset w:val="00"/>
    <w:family w:val="roman"/>
    <w:pitch w:val="variable"/>
  </w:font>
  <w:font w:name="Noto Serif CJK SC">
    <w:panose1 w:val="00000000000000000000"/>
    <w:charset w:val="00"/>
    <w:family w:val="roman"/>
    <w:notTrueType/>
    <w:pitch w:val="default"/>
  </w:font>
  <w:font w:name="Lohit Devanaga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ans">
    <w:altName w:val="Arial"/>
    <w:charset w:val="00"/>
    <w:family w:val="swiss"/>
    <w:pitch w:val="variable"/>
  </w:font>
  <w:font w:name="Noto Sans CJK SC">
    <w:panose1 w:val="00000000000000000000"/>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 w:name="DejaVu San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729CAE" w14:textId="77777777" w:rsidR="00217E38" w:rsidRDefault="00302822">
    <w:pPr>
      <w:pStyle w:val="Footer"/>
      <w:jc w:val="center"/>
    </w:pPr>
    <w:r>
      <w:fldChar w:fldCharType="begin"/>
    </w:r>
    <w:r>
      <w:instrText xml:space="preserve"> PAGE </w:instrText>
    </w:r>
    <w:r>
      <w:fldChar w:fldCharType="separate"/>
    </w:r>
    <w:r>
      <w:t>6</w:t>
    </w:r>
    <w:r>
      <w:fldChar w:fldCharType="end"/>
    </w:r>
  </w:p>
  <w:p w14:paraId="3BF16E31" w14:textId="77777777" w:rsidR="00217E38" w:rsidRDefault="00217E3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420017" w14:textId="77777777" w:rsidR="00302822" w:rsidRDefault="00302822">
      <w:pPr>
        <w:spacing w:after="0" w:line="240" w:lineRule="auto"/>
      </w:pPr>
      <w:r>
        <w:separator/>
      </w:r>
    </w:p>
  </w:footnote>
  <w:footnote w:type="continuationSeparator" w:id="0">
    <w:p w14:paraId="3E279D26" w14:textId="77777777" w:rsidR="00302822" w:rsidRDefault="003028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09F2C5" w14:textId="77777777" w:rsidR="00217E38" w:rsidRDefault="00217E3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B2132C"/>
    <w:multiLevelType w:val="hybridMultilevel"/>
    <w:tmpl w:val="8882475C"/>
    <w:lvl w:ilvl="0" w:tplc="18C4935E">
      <w:start w:val="1"/>
      <w:numFmt w:val="bullet"/>
      <w:lvlText w:val="•"/>
      <w:lvlJc w:val="left"/>
      <w:pPr>
        <w:ind w:left="360" w:hanging="260"/>
      </w:pPr>
    </w:lvl>
    <w:lvl w:ilvl="1" w:tplc="FBA22944">
      <w:start w:val="1"/>
      <w:numFmt w:val="bullet"/>
      <w:lvlText w:val="◦"/>
      <w:lvlJc w:val="left"/>
      <w:pPr>
        <w:ind w:left="720" w:hanging="260"/>
      </w:pPr>
    </w:lvl>
    <w:lvl w:ilvl="2" w:tplc="94784D10">
      <w:numFmt w:val="decimal"/>
      <w:lvlText w:val=""/>
      <w:lvlJc w:val="left"/>
    </w:lvl>
    <w:lvl w:ilvl="3" w:tplc="EE48E354">
      <w:numFmt w:val="decimal"/>
      <w:lvlText w:val=""/>
      <w:lvlJc w:val="left"/>
    </w:lvl>
    <w:lvl w:ilvl="4" w:tplc="A36AAC9A">
      <w:numFmt w:val="decimal"/>
      <w:lvlText w:val=""/>
      <w:lvlJc w:val="left"/>
    </w:lvl>
    <w:lvl w:ilvl="5" w:tplc="0888AD26">
      <w:numFmt w:val="decimal"/>
      <w:lvlText w:val=""/>
      <w:lvlJc w:val="left"/>
    </w:lvl>
    <w:lvl w:ilvl="6" w:tplc="0CEE5A54">
      <w:numFmt w:val="decimal"/>
      <w:lvlText w:val=""/>
      <w:lvlJc w:val="left"/>
    </w:lvl>
    <w:lvl w:ilvl="7" w:tplc="B114CA22">
      <w:numFmt w:val="decimal"/>
      <w:lvlText w:val=""/>
      <w:lvlJc w:val="left"/>
    </w:lvl>
    <w:lvl w:ilvl="8" w:tplc="F7005384">
      <w:numFmt w:val="decimal"/>
      <w:lvlText w:val=""/>
      <w:lvlJc w:val="left"/>
    </w:lvl>
  </w:abstractNum>
  <w:abstractNum w:abstractNumId="1" w15:restartNumberingAfterBreak="0">
    <w:nsid w:val="23A64526"/>
    <w:multiLevelType w:val="multilevel"/>
    <w:tmpl w:val="18C6E73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31EE3220"/>
    <w:multiLevelType w:val="multilevel"/>
    <w:tmpl w:val="6276B16C"/>
    <w:lvl w:ilvl="0">
      <w:start w:val="1"/>
      <w:numFmt w:val="decimal"/>
      <w:lvlText w:val="%1."/>
      <w:lvlJc w:val="left"/>
      <w:pPr>
        <w:tabs>
          <w:tab w:val="num" w:pos="0"/>
        </w:tabs>
        <w:ind w:left="72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7435703">
    <w:abstractNumId w:val="2"/>
  </w:num>
  <w:num w:numId="2" w16cid:durableId="1298996548">
    <w:abstractNumId w:val="1"/>
  </w:num>
  <w:num w:numId="3" w16cid:durableId="2137792266">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autoHyphenation/>
  <w:hyphenationZone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zQ2NzAzNzM1MzMwMjZW0lEKTi0uzszPAykwqgUAMprR8CwAAAA="/>
  </w:docVars>
  <w:rsids>
    <w:rsidRoot w:val="00217E38"/>
    <w:rsid w:val="000464AA"/>
    <w:rsid w:val="00066477"/>
    <w:rsid w:val="000904E5"/>
    <w:rsid w:val="000F40DF"/>
    <w:rsid w:val="001B24F9"/>
    <w:rsid w:val="00217E38"/>
    <w:rsid w:val="002210D7"/>
    <w:rsid w:val="002278AA"/>
    <w:rsid w:val="00241E2A"/>
    <w:rsid w:val="00285A96"/>
    <w:rsid w:val="0028643F"/>
    <w:rsid w:val="002C4A29"/>
    <w:rsid w:val="002F7A86"/>
    <w:rsid w:val="00302822"/>
    <w:rsid w:val="00307A6C"/>
    <w:rsid w:val="003208F1"/>
    <w:rsid w:val="0032223E"/>
    <w:rsid w:val="00330D2F"/>
    <w:rsid w:val="003358F7"/>
    <w:rsid w:val="00387C50"/>
    <w:rsid w:val="003E676C"/>
    <w:rsid w:val="003E6E7D"/>
    <w:rsid w:val="00434B9E"/>
    <w:rsid w:val="00435F8A"/>
    <w:rsid w:val="0048638F"/>
    <w:rsid w:val="00496639"/>
    <w:rsid w:val="00555584"/>
    <w:rsid w:val="005F393C"/>
    <w:rsid w:val="005F5C07"/>
    <w:rsid w:val="0060334A"/>
    <w:rsid w:val="006918CD"/>
    <w:rsid w:val="006966F6"/>
    <w:rsid w:val="006A08C0"/>
    <w:rsid w:val="006B6FF0"/>
    <w:rsid w:val="006D4068"/>
    <w:rsid w:val="00707F43"/>
    <w:rsid w:val="00731284"/>
    <w:rsid w:val="0075354B"/>
    <w:rsid w:val="007945EA"/>
    <w:rsid w:val="007C2ED8"/>
    <w:rsid w:val="007D4819"/>
    <w:rsid w:val="00893605"/>
    <w:rsid w:val="00894061"/>
    <w:rsid w:val="008E2E19"/>
    <w:rsid w:val="0092067B"/>
    <w:rsid w:val="00957BAD"/>
    <w:rsid w:val="00971D2D"/>
    <w:rsid w:val="009E13F8"/>
    <w:rsid w:val="009E2C39"/>
    <w:rsid w:val="00A15E03"/>
    <w:rsid w:val="00A24544"/>
    <w:rsid w:val="00A33F43"/>
    <w:rsid w:val="00A42664"/>
    <w:rsid w:val="00A71283"/>
    <w:rsid w:val="00A8362D"/>
    <w:rsid w:val="00AB34DC"/>
    <w:rsid w:val="00B46B23"/>
    <w:rsid w:val="00B57FB7"/>
    <w:rsid w:val="00B75655"/>
    <w:rsid w:val="00B7615C"/>
    <w:rsid w:val="00B8310A"/>
    <w:rsid w:val="00BD0622"/>
    <w:rsid w:val="00C009DA"/>
    <w:rsid w:val="00C21C0D"/>
    <w:rsid w:val="00C46DE8"/>
    <w:rsid w:val="00C7336C"/>
    <w:rsid w:val="00C93F57"/>
    <w:rsid w:val="00CD4630"/>
    <w:rsid w:val="00CF15DD"/>
    <w:rsid w:val="00CF17AE"/>
    <w:rsid w:val="00D35777"/>
    <w:rsid w:val="00D50533"/>
    <w:rsid w:val="00D52BA7"/>
    <w:rsid w:val="00D93A19"/>
    <w:rsid w:val="00DB6EEE"/>
    <w:rsid w:val="00DD121E"/>
    <w:rsid w:val="00E36923"/>
    <w:rsid w:val="00E65C12"/>
    <w:rsid w:val="00E83835"/>
    <w:rsid w:val="00E87345"/>
    <w:rsid w:val="00EA6009"/>
    <w:rsid w:val="00EB3A92"/>
    <w:rsid w:val="00EC11BF"/>
    <w:rsid w:val="00ED0199"/>
    <w:rsid w:val="00F2071D"/>
    <w:rsid w:val="00F526A8"/>
    <w:rsid w:val="00F635E0"/>
    <w:rsid w:val="00F86EE4"/>
    <w:rsid w:val="00F901EB"/>
    <w:rsid w:val="00FA6EC8"/>
    <w:rsid w:val="00FD28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E5463F"/>
  <w15:docId w15:val="{DF64E840-24B4-4043-9893-CB92A2FC0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oto Serif CJK SC" w:hAnsi="Liberation Serif" w:cs="Lohit Devanagari"/>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7" w:lineRule="auto"/>
    </w:pPr>
    <w:rPr>
      <w:rFonts w:ascii="Calibri" w:eastAsia="Calibri" w:hAnsi="Calibri" w:cs="Times New Roman"/>
      <w:sz w:val="22"/>
      <w:szCs w:val="22"/>
      <w:lang w:bidi="ar-SA"/>
    </w:rPr>
  </w:style>
  <w:style w:type="paragraph" w:styleId="Heading1">
    <w:name w:val="heading 1"/>
    <w:link w:val="Heading1Char"/>
    <w:uiPriority w:val="9"/>
    <w:qFormat/>
    <w:rsid w:val="00387C50"/>
    <w:pPr>
      <w:suppressAutoHyphens w:val="0"/>
      <w:outlineLvl w:val="0"/>
    </w:pPr>
    <w:rPr>
      <w:rFonts w:ascii="Times New Roman" w:eastAsia="Times New Roman" w:hAnsi="Times New Roman" w:cs="Times New Roman"/>
      <w:color w:val="2E74B5"/>
      <w:sz w:val="32"/>
      <w:szCs w:val="32"/>
      <w:lang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qFormat/>
  </w:style>
  <w:style w:type="character" w:customStyle="1" w:styleId="WW8Num2z0">
    <w:name w:val="WW8Num2z0"/>
    <w:qFormat/>
  </w:style>
  <w:style w:type="character" w:customStyle="1" w:styleId="WW8Num3z0">
    <w:name w:val="WW8Num3z0"/>
    <w:qFormat/>
    <w:rPr>
      <w:rFonts w:ascii="Symbol" w:hAnsi="Symbol" w:cs="Symbol"/>
    </w:rPr>
  </w:style>
  <w:style w:type="character" w:customStyle="1" w:styleId="WW8Num3z1">
    <w:name w:val="WW8Num3z1"/>
    <w:qFormat/>
    <w:rPr>
      <w:rFonts w:ascii="Courier New" w:hAnsi="Courier New" w:cs="Courier New"/>
    </w:rPr>
  </w:style>
  <w:style w:type="character" w:customStyle="1" w:styleId="WW8Num3z2">
    <w:name w:val="WW8Num3z2"/>
    <w:qFormat/>
    <w:rPr>
      <w:rFonts w:ascii="Wingdings" w:hAnsi="Wingdings" w:cs="Wingdings"/>
    </w:rPr>
  </w:style>
  <w:style w:type="character" w:customStyle="1" w:styleId="WW8Num5z0">
    <w:name w:val="WW8Num5z0"/>
    <w:qFormat/>
  </w:style>
  <w:style w:type="character" w:customStyle="1" w:styleId="WW8Num6z0">
    <w:name w:val="WW8Num6z0"/>
    <w:qFormat/>
  </w:style>
  <w:style w:type="character" w:customStyle="1" w:styleId="WW8Num7z0">
    <w:name w:val="WW8Num7z0"/>
    <w:qFormat/>
    <w:rPr>
      <w:rFonts w:ascii="Symbol" w:hAnsi="Symbol" w:cs="Symbol"/>
    </w:rPr>
  </w:style>
  <w:style w:type="character" w:customStyle="1" w:styleId="WW8Num7z1">
    <w:name w:val="WW8Num7z1"/>
    <w:qFormat/>
    <w:rPr>
      <w:rFonts w:ascii="Courier New" w:hAnsi="Courier New" w:cs="Courier New"/>
    </w:rPr>
  </w:style>
  <w:style w:type="character" w:customStyle="1" w:styleId="WW8Num7z2">
    <w:name w:val="WW8Num7z2"/>
    <w:qFormat/>
    <w:rPr>
      <w:rFonts w:ascii="Wingdings" w:hAnsi="Wingdings" w:cs="Wingdings"/>
    </w:rPr>
  </w:style>
  <w:style w:type="character" w:customStyle="1" w:styleId="WW8Num8z0">
    <w:name w:val="WW8Num8z0"/>
    <w:qFormat/>
  </w:style>
  <w:style w:type="character" w:customStyle="1" w:styleId="WW8Num9z0">
    <w:name w:val="WW8Num9z0"/>
    <w:qFormat/>
  </w:style>
  <w:style w:type="character" w:customStyle="1" w:styleId="WW8Num10z0">
    <w:name w:val="WW8Num10z0"/>
    <w:qFormat/>
    <w:rPr>
      <w:rFonts w:ascii="Symbol" w:hAnsi="Symbol" w:cs="Symbol"/>
    </w:rPr>
  </w:style>
  <w:style w:type="character" w:customStyle="1" w:styleId="WW8Num10z1">
    <w:name w:val="WW8Num10z1"/>
    <w:qFormat/>
    <w:rPr>
      <w:rFonts w:ascii="Courier New" w:hAnsi="Courier New" w:cs="Courier New"/>
    </w:rPr>
  </w:style>
  <w:style w:type="character" w:customStyle="1" w:styleId="WW8Num10z2">
    <w:name w:val="WW8Num10z2"/>
    <w:qFormat/>
    <w:rPr>
      <w:rFonts w:ascii="Wingdings" w:hAnsi="Wingdings" w:cs="Wingdings"/>
    </w:rPr>
  </w:style>
  <w:style w:type="character" w:customStyle="1" w:styleId="WW8Num11z0">
    <w:name w:val="WW8Num11z0"/>
    <w:qFormat/>
  </w:style>
  <w:style w:type="character" w:customStyle="1" w:styleId="WW8Num11z1">
    <w:name w:val="WW8Num11z1"/>
    <w:qFormat/>
    <w:rPr>
      <w:b/>
      <w:bCs/>
    </w:rPr>
  </w:style>
  <w:style w:type="character" w:customStyle="1" w:styleId="WW8Num12z0">
    <w:name w:val="WW8Num12z0"/>
    <w:qFormat/>
  </w:style>
  <w:style w:type="character" w:customStyle="1" w:styleId="WW8Num13z0">
    <w:name w:val="WW8Num13z0"/>
    <w:qFormat/>
    <w:rPr>
      <w:rFonts w:ascii="Symbol" w:hAnsi="Symbol" w:cs="Symbol"/>
    </w:rPr>
  </w:style>
  <w:style w:type="character" w:customStyle="1" w:styleId="WW8Num13z1">
    <w:name w:val="WW8Num13z1"/>
    <w:qFormat/>
    <w:rPr>
      <w:rFonts w:ascii="Courier New" w:hAnsi="Courier New" w:cs="Courier New"/>
    </w:rPr>
  </w:style>
  <w:style w:type="character" w:customStyle="1" w:styleId="WW8Num13z2">
    <w:name w:val="WW8Num13z2"/>
    <w:qFormat/>
    <w:rPr>
      <w:rFonts w:ascii="Wingdings" w:hAnsi="Wingdings" w:cs="Wingdings"/>
    </w:rPr>
  </w:style>
  <w:style w:type="character" w:customStyle="1" w:styleId="WW8Num14z0">
    <w:name w:val="WW8Num14z0"/>
    <w:qFormat/>
  </w:style>
  <w:style w:type="character" w:customStyle="1" w:styleId="WW8Num15z0">
    <w:name w:val="WW8Num15z0"/>
    <w:qFormat/>
    <w:rPr>
      <w:b/>
    </w:rPr>
  </w:style>
  <w:style w:type="character" w:customStyle="1" w:styleId="WW8Num16z0">
    <w:name w:val="WW8Num16z0"/>
    <w:qFormat/>
  </w:style>
  <w:style w:type="character" w:customStyle="1" w:styleId="WW8Num17z0">
    <w:name w:val="WW8Num17z0"/>
    <w:qFormat/>
  </w:style>
  <w:style w:type="character" w:customStyle="1" w:styleId="WW8Num18z0">
    <w:name w:val="WW8Num18z0"/>
    <w:qFormat/>
  </w:style>
  <w:style w:type="character" w:customStyle="1" w:styleId="WW8Num19z0">
    <w:name w:val="WW8Num19z0"/>
    <w:qFormat/>
  </w:style>
  <w:style w:type="character" w:customStyle="1" w:styleId="WW8Num19z1">
    <w:name w:val="WW8Num19z1"/>
    <w:qFormat/>
    <w:rPr>
      <w:b/>
      <w:bCs/>
    </w:rPr>
  </w:style>
  <w:style w:type="character" w:customStyle="1" w:styleId="WW8Num20z0">
    <w:name w:val="WW8Num20z0"/>
    <w:qFormat/>
  </w:style>
  <w:style w:type="character" w:customStyle="1" w:styleId="WW8Num21z0">
    <w:name w:val="WW8Num21z0"/>
    <w:qFormat/>
  </w:style>
  <w:style w:type="character" w:customStyle="1" w:styleId="WW8Num22z0">
    <w:name w:val="WW8Num22z0"/>
    <w:qFormat/>
  </w:style>
  <w:style w:type="character" w:customStyle="1" w:styleId="WW8Num22z1">
    <w:name w:val="WW8Num22z1"/>
    <w:qFormat/>
    <w:rPr>
      <w:b/>
      <w:bCs/>
    </w:rPr>
  </w:style>
  <w:style w:type="character" w:customStyle="1" w:styleId="WW8Num23z0">
    <w:name w:val="WW8Num23z0"/>
    <w:qFormat/>
  </w:style>
  <w:style w:type="character" w:customStyle="1" w:styleId="WW8Num24z0">
    <w:name w:val="WW8Num24z0"/>
    <w:qFormat/>
  </w:style>
  <w:style w:type="character" w:customStyle="1" w:styleId="WW8Num24z1">
    <w:name w:val="WW8Num24z1"/>
    <w:qFormat/>
    <w:rPr>
      <w:b/>
      <w:bCs/>
    </w:rPr>
  </w:style>
  <w:style w:type="character" w:customStyle="1" w:styleId="WW8Num26z0">
    <w:name w:val="WW8Num26z0"/>
    <w:qFormat/>
    <w:rPr>
      <w:rFonts w:ascii="Symbol" w:hAnsi="Symbol" w:cs="Symbol"/>
    </w:rPr>
  </w:style>
  <w:style w:type="character" w:customStyle="1" w:styleId="WW8Num26z1">
    <w:name w:val="WW8Num26z1"/>
    <w:qFormat/>
    <w:rPr>
      <w:rFonts w:ascii="Courier New" w:hAnsi="Courier New" w:cs="Courier New"/>
    </w:rPr>
  </w:style>
  <w:style w:type="character" w:customStyle="1" w:styleId="WW8Num26z2">
    <w:name w:val="WW8Num26z2"/>
    <w:qFormat/>
    <w:rPr>
      <w:rFonts w:ascii="Wingdings" w:hAnsi="Wingdings" w:cs="Wingdings"/>
    </w:rPr>
  </w:style>
  <w:style w:type="character" w:customStyle="1" w:styleId="WW8Num27z0">
    <w:name w:val="WW8Num27z0"/>
    <w:qFormat/>
  </w:style>
  <w:style w:type="character" w:customStyle="1" w:styleId="WW8Num28z0">
    <w:name w:val="WW8Num28z0"/>
    <w:qFormat/>
    <w:rPr>
      <w:b/>
    </w:rPr>
  </w:style>
  <w:style w:type="character" w:customStyle="1" w:styleId="WW8Num30z0">
    <w:name w:val="WW8Num30z0"/>
    <w:qFormat/>
  </w:style>
  <w:style w:type="character" w:customStyle="1" w:styleId="WW8Num31z0">
    <w:name w:val="WW8Num31z0"/>
    <w:qFormat/>
  </w:style>
  <w:style w:type="character" w:customStyle="1" w:styleId="WW8Num32z0">
    <w:name w:val="WW8Num32z0"/>
    <w:qFormat/>
    <w:rPr>
      <w:rFonts w:ascii="Symbol" w:hAnsi="Symbol" w:cs="Symbol"/>
    </w:rPr>
  </w:style>
  <w:style w:type="character" w:customStyle="1" w:styleId="WW8Num32z1">
    <w:name w:val="WW8Num32z1"/>
    <w:qFormat/>
    <w:rPr>
      <w:rFonts w:ascii="Courier New" w:hAnsi="Courier New" w:cs="Courier New"/>
    </w:rPr>
  </w:style>
  <w:style w:type="character" w:customStyle="1" w:styleId="WW8Num32z2">
    <w:name w:val="WW8Num32z2"/>
    <w:qFormat/>
    <w:rPr>
      <w:rFonts w:ascii="Wingdings" w:hAnsi="Wingdings" w:cs="Wingdings"/>
    </w:rPr>
  </w:style>
  <w:style w:type="character" w:customStyle="1" w:styleId="FooterChar">
    <w:name w:val="Footer Char"/>
    <w:qFormat/>
    <w:rPr>
      <w:rFonts w:ascii="Calibri" w:eastAsia="Calibri" w:hAnsi="Calibri" w:cs="Times New Roman"/>
    </w:rPr>
  </w:style>
  <w:style w:type="character" w:styleId="Hyperlink">
    <w:name w:val="Hyperlink"/>
    <w:rPr>
      <w:color w:val="0563C1"/>
      <w:u w:val="single"/>
    </w:rPr>
  </w:style>
  <w:style w:type="character" w:styleId="UnresolvedMention">
    <w:name w:val="Unresolved Mention"/>
    <w:qFormat/>
    <w:rPr>
      <w:color w:val="605E5C"/>
      <w:shd w:val="clear" w:color="auto" w:fill="E1DFDD"/>
    </w:rPr>
  </w:style>
  <w:style w:type="character" w:styleId="FollowedHyperlink">
    <w:name w:val="FollowedHyperlink"/>
    <w:rPr>
      <w:color w:val="96607D"/>
      <w:u w:val="single"/>
    </w:rPr>
  </w:style>
  <w:style w:type="character" w:customStyle="1" w:styleId="HeaderChar">
    <w:name w:val="Header Char"/>
    <w:qFormat/>
    <w:rPr>
      <w:sz w:val="22"/>
      <w:szCs w:val="22"/>
    </w:rPr>
  </w:style>
  <w:style w:type="paragraph" w:customStyle="1" w:styleId="Heading">
    <w:name w:val="Heading"/>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line="276" w:lineRule="auto"/>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styleId="NoSpacing">
    <w:name w:val="No Spacing"/>
    <w:qFormat/>
    <w:rPr>
      <w:rFonts w:ascii="Calibri" w:eastAsia="Calibri" w:hAnsi="Calibri" w:cs="Times New Roman"/>
      <w:sz w:val="22"/>
      <w:szCs w:val="22"/>
      <w:lang w:bidi="ar-SA"/>
    </w:rPr>
  </w:style>
  <w:style w:type="paragraph" w:customStyle="1" w:styleId="HeaderandFooter">
    <w:name w:val="Header and Footer"/>
    <w:basedOn w:val="Normal"/>
    <w:qFormat/>
    <w:pPr>
      <w:suppressLineNumbers/>
      <w:tabs>
        <w:tab w:val="center" w:pos="4819"/>
        <w:tab w:val="right" w:pos="9638"/>
      </w:tabs>
    </w:pPr>
  </w:style>
  <w:style w:type="paragraph" w:styleId="Footer">
    <w:name w:val="footer"/>
    <w:basedOn w:val="Normal"/>
  </w:style>
  <w:style w:type="paragraph" w:styleId="ListParagraph">
    <w:name w:val="List Paragraph"/>
    <w:basedOn w:val="Normal"/>
    <w:qFormat/>
    <w:pPr>
      <w:spacing w:line="276" w:lineRule="auto"/>
      <w:ind w:left="720"/>
      <w:contextualSpacing/>
    </w:pPr>
    <w:rPr>
      <w:kern w:val="2"/>
      <w:sz w:val="24"/>
      <w:szCs w:val="24"/>
    </w:rPr>
  </w:style>
  <w:style w:type="paragraph" w:styleId="Header">
    <w:name w:val="header"/>
    <w:basedOn w:val="Normal"/>
    <w:pPr>
      <w:tabs>
        <w:tab w:val="center" w:pos="4680"/>
        <w:tab w:val="right" w:pos="9360"/>
      </w:tabs>
    </w:p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numbering" w:customStyle="1" w:styleId="WW8Num11">
    <w:name w:val="WW8Num11"/>
    <w:qFormat/>
  </w:style>
  <w:style w:type="numbering" w:customStyle="1" w:styleId="WW8Num12">
    <w:name w:val="WW8Num12"/>
    <w:qFormat/>
  </w:style>
  <w:style w:type="numbering" w:customStyle="1" w:styleId="WW8Num13">
    <w:name w:val="WW8Num13"/>
    <w:qFormat/>
  </w:style>
  <w:style w:type="numbering" w:customStyle="1" w:styleId="WW8Num14">
    <w:name w:val="WW8Num14"/>
    <w:qFormat/>
  </w:style>
  <w:style w:type="numbering" w:customStyle="1" w:styleId="WW8Num15">
    <w:name w:val="WW8Num15"/>
    <w:qFormat/>
  </w:style>
  <w:style w:type="numbering" w:customStyle="1" w:styleId="WW8Num16">
    <w:name w:val="WW8Num16"/>
    <w:qFormat/>
  </w:style>
  <w:style w:type="numbering" w:customStyle="1" w:styleId="WW8Num17">
    <w:name w:val="WW8Num17"/>
    <w:qFormat/>
  </w:style>
  <w:style w:type="numbering" w:customStyle="1" w:styleId="WW8Num18">
    <w:name w:val="WW8Num18"/>
    <w:qFormat/>
  </w:style>
  <w:style w:type="numbering" w:customStyle="1" w:styleId="WW8Num19">
    <w:name w:val="WW8Num19"/>
    <w:qFormat/>
  </w:style>
  <w:style w:type="numbering" w:customStyle="1" w:styleId="WW8Num20">
    <w:name w:val="WW8Num20"/>
    <w:qFormat/>
  </w:style>
  <w:style w:type="numbering" w:customStyle="1" w:styleId="WW8Num21">
    <w:name w:val="WW8Num21"/>
    <w:qFormat/>
  </w:style>
  <w:style w:type="numbering" w:customStyle="1" w:styleId="WW8Num22">
    <w:name w:val="WW8Num22"/>
    <w:qFormat/>
  </w:style>
  <w:style w:type="numbering" w:customStyle="1" w:styleId="WW8Num23">
    <w:name w:val="WW8Num23"/>
    <w:qFormat/>
  </w:style>
  <w:style w:type="numbering" w:customStyle="1" w:styleId="WW8Num24">
    <w:name w:val="WW8Num24"/>
    <w:qFormat/>
  </w:style>
  <w:style w:type="numbering" w:customStyle="1" w:styleId="WW8Num25">
    <w:name w:val="WW8Num25"/>
    <w:qFormat/>
  </w:style>
  <w:style w:type="numbering" w:customStyle="1" w:styleId="WW8Num26">
    <w:name w:val="WW8Num26"/>
    <w:qFormat/>
  </w:style>
  <w:style w:type="numbering" w:customStyle="1" w:styleId="WW8Num27">
    <w:name w:val="WW8Num27"/>
    <w:qFormat/>
  </w:style>
  <w:style w:type="numbering" w:customStyle="1" w:styleId="WW8Num28">
    <w:name w:val="WW8Num28"/>
    <w:qFormat/>
  </w:style>
  <w:style w:type="numbering" w:customStyle="1" w:styleId="WW8Num29">
    <w:name w:val="WW8Num29"/>
    <w:qFormat/>
  </w:style>
  <w:style w:type="numbering" w:customStyle="1" w:styleId="WW8Num30">
    <w:name w:val="WW8Num30"/>
    <w:qFormat/>
  </w:style>
  <w:style w:type="numbering" w:customStyle="1" w:styleId="WW8Num31">
    <w:name w:val="WW8Num31"/>
    <w:qFormat/>
  </w:style>
  <w:style w:type="numbering" w:customStyle="1" w:styleId="WW8Num32">
    <w:name w:val="WW8Num32"/>
    <w:qFormat/>
  </w:style>
  <w:style w:type="character" w:customStyle="1" w:styleId="Heading1Char">
    <w:name w:val="Heading 1 Char"/>
    <w:basedOn w:val="DefaultParagraphFont"/>
    <w:link w:val="Heading1"/>
    <w:uiPriority w:val="9"/>
    <w:rsid w:val="00387C50"/>
    <w:rPr>
      <w:rFonts w:ascii="Times New Roman" w:eastAsia="Times New Roman" w:hAnsi="Times New Roman" w:cs="Times New Roman"/>
      <w:color w:val="2E74B5"/>
      <w:sz w:val="32"/>
      <w:szCs w:val="3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982</Words>
  <Characters>5603</Characters>
  <Application>Microsoft Office Word</Application>
  <DocSecurity>0</DocSecurity>
  <Lines>46</Lines>
  <Paragraphs>13</Paragraphs>
  <ScaleCrop>false</ScaleCrop>
  <Company/>
  <LinksUpToDate>false</LinksUpToDate>
  <CharactersWithSpaces>6572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Marks</dc:creator>
  <cp:keywords/>
  <dc:description/>
  <cp:lastModifiedBy>Vince Tweddell</cp:lastModifiedBy>
  <cp:revision>2</cp:revision>
  <cp:lastPrinted>2026-03-15T14:34:00Z</cp:lastPrinted>
  <dcterms:created xsi:type="dcterms:W3CDTF">2026-07-15T14:04:00Z</dcterms:created>
  <dcterms:modified xsi:type="dcterms:W3CDTF">2026-07-15T14:04:00Z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a3a516a442ca641dc22f7f48e0cb9ee60544a3dce7a0f51a82e8d6b1030aacbf</vt:lpwstr>
  </property>
</Properties>
</file>